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2D7D" w:rsidRPr="008C7D95" w:rsidRDefault="00C72D7D" w:rsidP="00C72D7D">
      <w:pPr>
        <w:pStyle w:val="CRCoverPage"/>
        <w:tabs>
          <w:tab w:val="right" w:pos="9639"/>
        </w:tabs>
        <w:spacing w:after="0"/>
        <w:rPr>
          <w:b/>
          <w:noProof/>
          <w:sz w:val="28"/>
        </w:rPr>
      </w:pPr>
      <w:r w:rsidRPr="00DC5CD5">
        <w:rPr>
          <w:b/>
          <w:noProof/>
          <w:sz w:val="24"/>
        </w:rPr>
        <w:t>3GPP TSG-</w:t>
      </w:r>
      <w:r w:rsidRPr="00DC5CD5">
        <w:rPr>
          <w:b/>
          <w:noProof/>
          <w:sz w:val="24"/>
        </w:rPr>
        <w:fldChar w:fldCharType="begin"/>
      </w:r>
      <w:r w:rsidRPr="00DC5CD5">
        <w:rPr>
          <w:b/>
          <w:noProof/>
          <w:sz w:val="24"/>
        </w:rPr>
        <w:instrText xml:space="preserve"> DOCPROPERTY  TSG/WGRef  \* MERGEFORMAT </w:instrText>
      </w:r>
      <w:r w:rsidRPr="00DC5CD5">
        <w:rPr>
          <w:b/>
          <w:noProof/>
          <w:sz w:val="24"/>
        </w:rPr>
        <w:fldChar w:fldCharType="separate"/>
      </w:r>
      <w:r w:rsidRPr="00DC5CD5">
        <w:rPr>
          <w:b/>
          <w:noProof/>
          <w:sz w:val="24"/>
        </w:rPr>
        <w:t>RAN2</w:t>
      </w:r>
      <w:r w:rsidRPr="00DC5CD5">
        <w:rPr>
          <w:b/>
          <w:noProof/>
          <w:sz w:val="24"/>
        </w:rPr>
        <w:fldChar w:fldCharType="end"/>
      </w:r>
      <w:r w:rsidRPr="00DC5CD5">
        <w:rPr>
          <w:b/>
          <w:noProof/>
          <w:sz w:val="24"/>
        </w:rPr>
        <w:t xml:space="preserve"> Meeting #</w:t>
      </w:r>
      <w:r w:rsidRPr="00DC5CD5">
        <w:rPr>
          <w:b/>
          <w:noProof/>
          <w:sz w:val="24"/>
        </w:rPr>
        <w:fldChar w:fldCharType="begin"/>
      </w:r>
      <w:r w:rsidRPr="00DC5CD5">
        <w:rPr>
          <w:b/>
          <w:noProof/>
          <w:sz w:val="24"/>
        </w:rPr>
        <w:instrText xml:space="preserve"> DOCPROPERTY  MtgSeq  \* MERGEFORMAT </w:instrText>
      </w:r>
      <w:r w:rsidRPr="00DC5CD5">
        <w:rPr>
          <w:b/>
          <w:noProof/>
          <w:sz w:val="24"/>
        </w:rPr>
        <w:fldChar w:fldCharType="separate"/>
      </w:r>
      <w:r w:rsidRPr="00DC5CD5">
        <w:rPr>
          <w:b/>
          <w:noProof/>
          <w:sz w:val="24"/>
        </w:rPr>
        <w:t>11</w:t>
      </w:r>
      <w:r>
        <w:rPr>
          <w:b/>
          <w:noProof/>
          <w:sz w:val="24"/>
        </w:rPr>
        <w:t xml:space="preserve">5 </w:t>
      </w:r>
      <w:r w:rsidRPr="00DC5CD5">
        <w:rPr>
          <w:b/>
          <w:noProof/>
          <w:sz w:val="24"/>
        </w:rPr>
        <w:t xml:space="preserve">Electronic </w:t>
      </w:r>
      <w:r w:rsidRPr="00DC5CD5">
        <w:rPr>
          <w:b/>
          <w:noProof/>
          <w:sz w:val="24"/>
        </w:rPr>
        <w:fldChar w:fldCharType="end"/>
      </w:r>
      <w:r w:rsidRPr="00DC5CD5">
        <w:rPr>
          <w:b/>
          <w:i/>
          <w:noProof/>
          <w:sz w:val="28"/>
        </w:rPr>
        <w:t xml:space="preserve">   </w:t>
      </w:r>
      <w:r>
        <w:rPr>
          <w:b/>
          <w:noProof/>
          <w:sz w:val="28"/>
        </w:rPr>
        <w:t xml:space="preserve">             </w:t>
      </w:r>
      <w:r w:rsidRPr="0007657A">
        <w:rPr>
          <w:b/>
          <w:i/>
          <w:noProof/>
          <w:sz w:val="28"/>
        </w:rPr>
        <w:fldChar w:fldCharType="begin"/>
      </w:r>
      <w:r w:rsidRPr="00DC5CD5">
        <w:rPr>
          <w:b/>
          <w:i/>
          <w:noProof/>
          <w:sz w:val="28"/>
        </w:rPr>
        <w:instrText xml:space="preserve"> DOCPROPERTY  Tdoc#  \* MERGEFORMAT </w:instrText>
      </w:r>
      <w:r w:rsidRPr="0007657A">
        <w:rPr>
          <w:b/>
          <w:i/>
          <w:noProof/>
          <w:sz w:val="28"/>
        </w:rPr>
        <w:fldChar w:fldCharType="separate"/>
      </w:r>
      <w:r w:rsidRPr="00DC5CD5">
        <w:rPr>
          <w:b/>
          <w:noProof/>
          <w:sz w:val="24"/>
        </w:rPr>
        <w:t>R2-</w:t>
      </w:r>
      <w:r w:rsidRPr="00DC5CD5">
        <w:rPr>
          <w:sz w:val="18"/>
        </w:rPr>
        <w:t xml:space="preserve"> </w:t>
      </w:r>
      <w:r w:rsidRPr="0007657A">
        <w:rPr>
          <w:b/>
          <w:iCs/>
          <w:noProof/>
          <w:sz w:val="24"/>
        </w:rPr>
        <w:t>210</w:t>
      </w:r>
      <w:r w:rsidRPr="0007657A">
        <w:rPr>
          <w:b/>
          <w:iCs/>
          <w:noProof/>
          <w:sz w:val="28"/>
        </w:rPr>
        <w:fldChar w:fldCharType="end"/>
      </w:r>
      <w:r w:rsidR="0007657A" w:rsidRPr="0007657A">
        <w:rPr>
          <w:b/>
          <w:iCs/>
          <w:noProof/>
          <w:sz w:val="24"/>
          <w:szCs w:val="18"/>
        </w:rPr>
        <w:t>7005</w:t>
      </w:r>
    </w:p>
    <w:p w:rsidR="00C72D7D" w:rsidRPr="00DC5CD5" w:rsidRDefault="00FE6BD3" w:rsidP="00C72D7D">
      <w:pPr>
        <w:pStyle w:val="CRCoverPage"/>
        <w:outlineLvl w:val="0"/>
        <w:rPr>
          <w:b/>
          <w:noProof/>
          <w:sz w:val="24"/>
        </w:rPr>
      </w:pPr>
      <w:r>
        <w:fldChar w:fldCharType="begin"/>
      </w:r>
      <w:r>
        <w:instrText xml:space="preserve"> DOCPROPERTY  StartDate  \* MERGEFORMAT </w:instrText>
      </w:r>
      <w:r>
        <w:fldChar w:fldCharType="separate"/>
      </w:r>
      <w:r w:rsidR="00C72D7D">
        <w:rPr>
          <w:b/>
          <w:noProof/>
          <w:sz w:val="24"/>
        </w:rPr>
        <w:t>9</w:t>
      </w:r>
      <w:r w:rsidR="00C72D7D" w:rsidRPr="00DC5CD5">
        <w:rPr>
          <w:b/>
          <w:noProof/>
          <w:sz w:val="24"/>
          <w:vertAlign w:val="superscript"/>
        </w:rPr>
        <w:t>th</w:t>
      </w:r>
      <w:r w:rsidR="00C72D7D" w:rsidRPr="00DC5CD5">
        <w:rPr>
          <w:b/>
          <w:noProof/>
          <w:sz w:val="24"/>
        </w:rPr>
        <w:t xml:space="preserve"> </w:t>
      </w:r>
      <w:r w:rsidR="00C72D7D">
        <w:rPr>
          <w:b/>
          <w:noProof/>
          <w:sz w:val="24"/>
        </w:rPr>
        <w:t>August</w:t>
      </w:r>
      <w:r>
        <w:rPr>
          <w:b/>
          <w:noProof/>
          <w:sz w:val="24"/>
        </w:rPr>
        <w:fldChar w:fldCharType="end"/>
      </w:r>
      <w:r w:rsidR="00C72D7D" w:rsidRPr="00DC5CD5">
        <w:rPr>
          <w:b/>
          <w:noProof/>
          <w:sz w:val="24"/>
        </w:rPr>
        <w:t xml:space="preserve"> – </w:t>
      </w:r>
      <w:r w:rsidR="00C72D7D">
        <w:rPr>
          <w:b/>
          <w:noProof/>
          <w:sz w:val="24"/>
        </w:rPr>
        <w:t>27</w:t>
      </w:r>
      <w:r w:rsidR="00C72D7D" w:rsidRPr="00DC5CD5">
        <w:rPr>
          <w:b/>
          <w:noProof/>
          <w:sz w:val="24"/>
          <w:vertAlign w:val="superscript"/>
        </w:rPr>
        <w:t>th</w:t>
      </w:r>
      <w:r w:rsidR="00C72D7D" w:rsidRPr="00DC5CD5">
        <w:rPr>
          <w:b/>
          <w:noProof/>
          <w:sz w:val="24"/>
        </w:rPr>
        <w:t xml:space="preserve"> </w:t>
      </w:r>
      <w:r w:rsidR="00C72D7D">
        <w:rPr>
          <w:b/>
          <w:noProof/>
          <w:sz w:val="24"/>
        </w:rPr>
        <w:t>August</w:t>
      </w:r>
      <w:r w:rsidR="00C72D7D" w:rsidRPr="00DC5CD5">
        <w:rPr>
          <w:b/>
          <w:noProof/>
          <w:sz w:val="24"/>
        </w:rPr>
        <w:t xml:space="preserve"> 2021</w:t>
      </w:r>
    </w:p>
    <w:p w:rsidR="0031552F" w:rsidRPr="004B33DE" w:rsidRDefault="0031552F" w:rsidP="0031552F">
      <w:pPr>
        <w:pStyle w:val="CRCoverPage"/>
        <w:ind w:left="1980" w:hanging="1980"/>
        <w:rPr>
          <w:rFonts w:cs="Arial"/>
          <w:b/>
          <w:bCs/>
          <w:sz w:val="24"/>
        </w:rPr>
      </w:pPr>
      <w:r w:rsidRPr="00837EAE">
        <w:rPr>
          <w:rFonts w:cs="Arial"/>
          <w:b/>
          <w:bCs/>
          <w:sz w:val="24"/>
        </w:rPr>
        <w:t>Agenda item:</w:t>
      </w:r>
      <w:r w:rsidRPr="00837EAE">
        <w:rPr>
          <w:rFonts w:cs="Arial"/>
          <w:b/>
          <w:bCs/>
          <w:sz w:val="24"/>
        </w:rPr>
        <w:tab/>
      </w:r>
      <w:r w:rsidR="00BD74C3" w:rsidRPr="00837EAE">
        <w:rPr>
          <w:rFonts w:eastAsia="Times New Roman" w:cs="Arial"/>
          <w:b/>
          <w:bCs/>
          <w:sz w:val="24"/>
        </w:rPr>
        <w:t>8.6.4</w:t>
      </w:r>
    </w:p>
    <w:p w:rsidR="0031552F" w:rsidRPr="004B33DE" w:rsidRDefault="0031552F" w:rsidP="0031552F">
      <w:pPr>
        <w:tabs>
          <w:tab w:val="left" w:pos="1985"/>
        </w:tabs>
        <w:ind w:left="1985" w:hanging="1985"/>
        <w:rPr>
          <w:rFonts w:ascii="Arial" w:hAnsi="Arial" w:cs="Arial"/>
          <w:b/>
          <w:bCs/>
          <w:sz w:val="24"/>
        </w:rPr>
      </w:pPr>
      <w:r w:rsidRPr="004B33DE">
        <w:rPr>
          <w:rFonts w:ascii="Arial" w:hAnsi="Arial" w:cs="Arial"/>
          <w:b/>
          <w:bCs/>
          <w:sz w:val="24"/>
        </w:rPr>
        <w:t>Source:</w:t>
      </w:r>
      <w:r w:rsidRPr="004B33DE">
        <w:rPr>
          <w:rFonts w:ascii="Arial" w:hAnsi="Arial" w:cs="Arial"/>
          <w:b/>
          <w:bCs/>
          <w:sz w:val="24"/>
        </w:rPr>
        <w:tab/>
        <w:t>Samsung</w:t>
      </w:r>
      <w:r w:rsidRPr="004B33DE">
        <w:rPr>
          <w:rFonts w:ascii="Arial" w:hAnsi="Arial" w:cs="Arial"/>
          <w:b/>
          <w:bCs/>
          <w:sz w:val="24"/>
        </w:rPr>
        <w:tab/>
      </w:r>
    </w:p>
    <w:p w:rsidR="0031552F" w:rsidRPr="004B33DE" w:rsidRDefault="0031552F" w:rsidP="0031552F">
      <w:pPr>
        <w:ind w:left="1985" w:hanging="1985"/>
        <w:rPr>
          <w:rFonts w:ascii="Arial" w:hAnsi="Arial" w:cs="Arial"/>
          <w:b/>
          <w:bCs/>
          <w:sz w:val="24"/>
        </w:rPr>
      </w:pPr>
      <w:r w:rsidRPr="004B33DE">
        <w:rPr>
          <w:rFonts w:ascii="Arial" w:hAnsi="Arial" w:cs="Arial"/>
          <w:b/>
          <w:bCs/>
          <w:sz w:val="24"/>
        </w:rPr>
        <w:t>Title:</w:t>
      </w:r>
      <w:r w:rsidRPr="004B33DE">
        <w:rPr>
          <w:rFonts w:ascii="Arial" w:hAnsi="Arial" w:cs="Arial"/>
          <w:b/>
          <w:bCs/>
          <w:sz w:val="24"/>
        </w:rPr>
        <w:tab/>
      </w:r>
      <w:r w:rsidR="00B26E67">
        <w:rPr>
          <w:rFonts w:ascii="Arial" w:hAnsi="Arial" w:cs="Arial"/>
          <w:b/>
          <w:bCs/>
          <w:sz w:val="24"/>
        </w:rPr>
        <w:t>Further details of RACH based</w:t>
      </w:r>
      <w:r w:rsidR="0014670A">
        <w:rPr>
          <w:rFonts w:ascii="Arial" w:hAnsi="Arial" w:cs="Arial"/>
          <w:b/>
          <w:bCs/>
          <w:sz w:val="24"/>
        </w:rPr>
        <w:t xml:space="preserve"> </w:t>
      </w:r>
      <w:r>
        <w:rPr>
          <w:rFonts w:ascii="Arial" w:hAnsi="Arial" w:cs="Arial"/>
          <w:b/>
          <w:bCs/>
          <w:sz w:val="24"/>
        </w:rPr>
        <w:t>Small Data Transmission</w:t>
      </w:r>
    </w:p>
    <w:p w:rsidR="0031552F" w:rsidRPr="001F19C0" w:rsidRDefault="0031552F" w:rsidP="0031552F">
      <w:pPr>
        <w:ind w:left="1980" w:hanging="1980"/>
        <w:rPr>
          <w:rFonts w:ascii="Arial" w:hAnsi="Arial" w:cs="Arial"/>
          <w:b/>
          <w:bCs/>
          <w:sz w:val="24"/>
        </w:rPr>
      </w:pPr>
      <w:r w:rsidRPr="004B33DE">
        <w:rPr>
          <w:rFonts w:ascii="Arial" w:hAnsi="Arial" w:cs="Arial"/>
          <w:b/>
          <w:bCs/>
          <w:sz w:val="24"/>
        </w:rPr>
        <w:t>Document for:</w:t>
      </w:r>
      <w:r w:rsidRPr="004B33DE">
        <w:rPr>
          <w:rFonts w:ascii="Arial" w:hAnsi="Arial" w:cs="Arial"/>
          <w:b/>
          <w:bCs/>
          <w:sz w:val="24"/>
        </w:rPr>
        <w:tab/>
        <w:t>Discussion &amp; Decision</w:t>
      </w:r>
    </w:p>
    <w:p w:rsidR="0031552F" w:rsidRDefault="0031552F" w:rsidP="0031552F">
      <w:pPr>
        <w:pStyle w:val="Heading1"/>
      </w:pPr>
      <w:r w:rsidRPr="004B33DE">
        <w:t>Introduction</w:t>
      </w:r>
    </w:p>
    <w:p w:rsidR="0031552F" w:rsidRDefault="0031552F" w:rsidP="0031552F">
      <w:pPr>
        <w:tabs>
          <w:tab w:val="right" w:pos="9027"/>
        </w:tabs>
        <w:jc w:val="both"/>
      </w:pPr>
      <w:r w:rsidRPr="005A1E83">
        <w:t>In t</w:t>
      </w:r>
      <w:r w:rsidR="000640AF">
        <w:t>his contribution we discuss the following aspects of</w:t>
      </w:r>
      <w:r w:rsidR="0014670A">
        <w:t xml:space="preserve"> </w:t>
      </w:r>
      <w:r>
        <w:rPr>
          <w:lang w:eastAsia="zh-CN"/>
        </w:rPr>
        <w:t>RACH</w:t>
      </w:r>
      <w:r w:rsidR="000640AF">
        <w:t>-based SDT</w:t>
      </w:r>
    </w:p>
    <w:p w:rsidR="00F57AE7" w:rsidRPr="00F57AE7" w:rsidRDefault="00F57AE7" w:rsidP="00F57AE7">
      <w:pPr>
        <w:pStyle w:val="ListParagraph"/>
        <w:numPr>
          <w:ilvl w:val="0"/>
          <w:numId w:val="9"/>
        </w:numPr>
        <w:tabs>
          <w:tab w:val="right" w:pos="9027"/>
        </w:tabs>
        <w:ind w:firstLineChars="0"/>
        <w:jc w:val="both"/>
        <w:rPr>
          <w:rFonts w:ascii="Times New Roman" w:hAnsi="Times New Roman"/>
          <w:sz w:val="20"/>
          <w:szCs w:val="20"/>
        </w:rPr>
      </w:pPr>
      <w:r w:rsidRPr="00F57AE7">
        <w:rPr>
          <w:rFonts w:ascii="Times New Roman" w:hAnsi="Times New Roman"/>
          <w:sz w:val="20"/>
          <w:szCs w:val="20"/>
        </w:rPr>
        <w:t>RA Prioritization for SDT</w:t>
      </w:r>
    </w:p>
    <w:p w:rsidR="00F57AE7" w:rsidRPr="00F57AE7" w:rsidRDefault="00F57AE7" w:rsidP="00F57AE7">
      <w:pPr>
        <w:pStyle w:val="ListParagraph"/>
        <w:numPr>
          <w:ilvl w:val="0"/>
          <w:numId w:val="9"/>
        </w:numPr>
        <w:tabs>
          <w:tab w:val="right" w:pos="9027"/>
        </w:tabs>
        <w:ind w:firstLineChars="0"/>
        <w:jc w:val="both"/>
        <w:rPr>
          <w:rFonts w:ascii="Times New Roman" w:hAnsi="Times New Roman"/>
          <w:sz w:val="20"/>
          <w:szCs w:val="20"/>
        </w:rPr>
      </w:pPr>
      <w:r w:rsidRPr="00F57AE7">
        <w:rPr>
          <w:rFonts w:ascii="Times New Roman" w:hAnsi="Times New Roman"/>
          <w:sz w:val="20"/>
          <w:szCs w:val="20"/>
        </w:rPr>
        <w:t>Indication to switch to non-SDT procedure in RAR/FallbackRAR</w:t>
      </w:r>
    </w:p>
    <w:p w:rsidR="00F57AE7" w:rsidRPr="00F57AE7" w:rsidRDefault="00F57AE7" w:rsidP="00F57AE7">
      <w:pPr>
        <w:pStyle w:val="ListParagraph"/>
        <w:numPr>
          <w:ilvl w:val="0"/>
          <w:numId w:val="9"/>
        </w:numPr>
        <w:tabs>
          <w:tab w:val="right" w:pos="9027"/>
        </w:tabs>
        <w:ind w:firstLineChars="0"/>
        <w:jc w:val="both"/>
        <w:rPr>
          <w:rFonts w:ascii="Times New Roman" w:hAnsi="Times New Roman"/>
          <w:sz w:val="20"/>
          <w:szCs w:val="20"/>
        </w:rPr>
      </w:pPr>
      <w:r w:rsidRPr="00F57AE7">
        <w:rPr>
          <w:rFonts w:ascii="Times New Roman" w:hAnsi="Times New Roman"/>
          <w:sz w:val="20"/>
          <w:szCs w:val="20"/>
        </w:rPr>
        <w:t>TAT handling during the SDT procedure</w:t>
      </w:r>
    </w:p>
    <w:p w:rsidR="00F57AE7" w:rsidRPr="00F57AE7" w:rsidRDefault="00F57AE7" w:rsidP="00F57AE7">
      <w:pPr>
        <w:pStyle w:val="ListParagraph"/>
        <w:numPr>
          <w:ilvl w:val="0"/>
          <w:numId w:val="9"/>
        </w:numPr>
        <w:tabs>
          <w:tab w:val="right" w:pos="9027"/>
        </w:tabs>
        <w:ind w:firstLineChars="0"/>
        <w:jc w:val="both"/>
        <w:rPr>
          <w:rFonts w:eastAsia="Yu Mincho"/>
        </w:rPr>
      </w:pPr>
      <w:r w:rsidRPr="00F57AE7">
        <w:rPr>
          <w:rFonts w:ascii="Times New Roman" w:hAnsi="Times New Roman"/>
          <w:sz w:val="20"/>
          <w:szCs w:val="20"/>
        </w:rPr>
        <w:t>Handling SSB change during the SDT procedure</w:t>
      </w:r>
    </w:p>
    <w:p w:rsidR="000640AF" w:rsidRPr="000640AF" w:rsidRDefault="0031552F" w:rsidP="000640AF">
      <w:pPr>
        <w:pStyle w:val="Heading1"/>
      </w:pPr>
      <w:r>
        <w:t>Discussion</w:t>
      </w:r>
    </w:p>
    <w:p w:rsidR="00517EE4" w:rsidRPr="00906446" w:rsidRDefault="00517EE4" w:rsidP="00517EE4">
      <w:pPr>
        <w:pStyle w:val="Heading2"/>
        <w:tabs>
          <w:tab w:val="clear" w:pos="4262"/>
        </w:tabs>
        <w:ind w:left="0" w:firstLine="0"/>
        <w:rPr>
          <w:sz w:val="26"/>
          <w:szCs w:val="26"/>
        </w:rPr>
      </w:pPr>
      <w:r>
        <w:rPr>
          <w:sz w:val="26"/>
          <w:szCs w:val="26"/>
        </w:rPr>
        <w:t>RA Prioritization for</w:t>
      </w:r>
      <w:r w:rsidRPr="00906446">
        <w:rPr>
          <w:sz w:val="26"/>
          <w:szCs w:val="26"/>
        </w:rPr>
        <w:t xml:space="preserve"> </w:t>
      </w:r>
      <w:r w:rsidR="006E4FAE">
        <w:rPr>
          <w:sz w:val="26"/>
          <w:szCs w:val="26"/>
        </w:rPr>
        <w:t>SDT</w:t>
      </w:r>
    </w:p>
    <w:p w:rsidR="00DA3A2C" w:rsidRPr="001B3CCF" w:rsidRDefault="00DA3A2C" w:rsidP="00DA3A2C">
      <w:pPr>
        <w:pStyle w:val="CRCoverPage"/>
        <w:jc w:val="both"/>
        <w:rPr>
          <w:rFonts w:ascii="Times New Roman" w:hAnsi="Times New Roman"/>
        </w:rPr>
      </w:pPr>
      <w:r w:rsidRPr="00DA3A2C">
        <w:rPr>
          <w:rFonts w:ascii="Times New Roman" w:hAnsi="Times New Roman"/>
          <w:lang w:val="en-US"/>
        </w:rPr>
        <w:t xml:space="preserve">For RACH based SDT solutions, ROs for PRACH initiated for SDT and non SDT can be shared or not shared (depending on network configuration). </w:t>
      </w:r>
      <w:r w:rsidRPr="00DA3A2C">
        <w:rPr>
          <w:rFonts w:ascii="Times New Roman" w:hAnsi="Times New Roman"/>
        </w:rPr>
        <w:t>In case, ROs for SDT and non SDT are shared, back off indication in RAR is common for SDT and non SDT.  (Note: Same RO means, same RA-RNTI and hence UE performing SDT and non SDT receives the same RAR)</w:t>
      </w:r>
      <w:r w:rsidRPr="00DA3A2C">
        <w:rPr>
          <w:rFonts w:ascii="Times New Roman" w:hAnsi="Times New Roman"/>
          <w:lang w:val="en-US"/>
        </w:rPr>
        <w:t xml:space="preserve">. </w:t>
      </w:r>
      <w:r w:rsidRPr="00DA3A2C">
        <w:rPr>
          <w:rFonts w:ascii="Times New Roman" w:hAnsi="Times New Roman"/>
        </w:rPr>
        <w:t>Both the UEs performing RACH for SDT and non SDT will apply the same back off. As a result, SDT can be delayed</w:t>
      </w:r>
      <w:r w:rsidRPr="001B3CCF">
        <w:rPr>
          <w:rFonts w:ascii="Times New Roman" w:hAnsi="Times New Roman"/>
        </w:rPr>
        <w:t>.</w:t>
      </w:r>
      <w:r w:rsidR="001B3CCF" w:rsidRPr="001B3CCF">
        <w:rPr>
          <w:rFonts w:ascii="Times New Roman" w:hAnsi="Times New Roman"/>
        </w:rPr>
        <w:t xml:space="preserve"> </w:t>
      </w:r>
      <w:r w:rsidRPr="001B3CCF">
        <w:rPr>
          <w:rFonts w:ascii="Times New Roman" w:hAnsi="Times New Roman"/>
        </w:rPr>
        <w:t>This can be handle</w:t>
      </w:r>
      <w:r w:rsidR="001B3CCF" w:rsidRPr="001B3CCF">
        <w:rPr>
          <w:rFonts w:ascii="Times New Roman" w:hAnsi="Times New Roman"/>
        </w:rPr>
        <w:t>d using one of the following options:</w:t>
      </w:r>
    </w:p>
    <w:p w:rsidR="00DA3A2C" w:rsidRPr="001B3CCF" w:rsidRDefault="00DA3A2C" w:rsidP="00DA3A2C">
      <w:pPr>
        <w:pStyle w:val="CRCoverPage"/>
        <w:numPr>
          <w:ilvl w:val="0"/>
          <w:numId w:val="11"/>
        </w:numPr>
        <w:jc w:val="both"/>
        <w:rPr>
          <w:rFonts w:ascii="Times New Roman" w:hAnsi="Times New Roman"/>
          <w:bCs/>
          <w:lang w:val="en-US"/>
        </w:rPr>
      </w:pPr>
      <w:r w:rsidRPr="001B3CCF">
        <w:rPr>
          <w:rFonts w:ascii="Times New Roman" w:hAnsi="Times New Roman"/>
          <w:bCs/>
        </w:rPr>
        <w:t xml:space="preserve">Option 1: </w:t>
      </w:r>
    </w:p>
    <w:p w:rsidR="001852F3" w:rsidRPr="001B3CCF" w:rsidRDefault="00DD21D8" w:rsidP="007E6763">
      <w:pPr>
        <w:pStyle w:val="CRCoverPage"/>
        <w:numPr>
          <w:ilvl w:val="1"/>
          <w:numId w:val="11"/>
        </w:numPr>
        <w:jc w:val="both"/>
        <w:rPr>
          <w:rFonts w:ascii="Times New Roman" w:hAnsi="Times New Roman"/>
          <w:bCs/>
          <w:lang w:val="en-US"/>
        </w:rPr>
      </w:pPr>
      <w:r w:rsidRPr="001B3CCF">
        <w:rPr>
          <w:rFonts w:ascii="Times New Roman" w:hAnsi="Times New Roman"/>
          <w:bCs/>
        </w:rPr>
        <w:t>powerRampingStepHighPriority and scalingFactorBI are signale</w:t>
      </w:r>
      <w:r w:rsidR="00DA3A2C" w:rsidRPr="001B3CCF">
        <w:rPr>
          <w:rFonts w:ascii="Times New Roman" w:hAnsi="Times New Roman"/>
          <w:bCs/>
        </w:rPr>
        <w:t xml:space="preserve">d in RACH configuration for SDT. </w:t>
      </w:r>
      <w:r w:rsidRPr="001B3CCF">
        <w:rPr>
          <w:rFonts w:ascii="Times New Roman" w:hAnsi="Times New Roman"/>
          <w:bCs/>
        </w:rPr>
        <w:t>Network may configure only scalingFactorBISDT</w:t>
      </w:r>
    </w:p>
    <w:p w:rsidR="001852F3" w:rsidRPr="001B3CCF" w:rsidRDefault="00DD21D8" w:rsidP="00DA3A2C">
      <w:pPr>
        <w:pStyle w:val="CRCoverPage"/>
        <w:numPr>
          <w:ilvl w:val="1"/>
          <w:numId w:val="11"/>
        </w:numPr>
        <w:jc w:val="both"/>
        <w:rPr>
          <w:rFonts w:ascii="Times New Roman" w:hAnsi="Times New Roman"/>
          <w:bCs/>
          <w:lang w:val="en-US"/>
        </w:rPr>
      </w:pPr>
      <w:r w:rsidRPr="001B3CCF">
        <w:rPr>
          <w:rFonts w:ascii="Times New Roman" w:hAnsi="Times New Roman"/>
          <w:bCs/>
        </w:rPr>
        <w:t xml:space="preserve">These parameters are separately signaled for 2 step RACH configuration for </w:t>
      </w:r>
      <w:r w:rsidR="00DA3A2C" w:rsidRPr="001B3CCF">
        <w:rPr>
          <w:rFonts w:ascii="Times New Roman" w:hAnsi="Times New Roman"/>
          <w:bCs/>
        </w:rPr>
        <w:t>SDT and</w:t>
      </w:r>
      <w:r w:rsidRPr="001B3CCF">
        <w:rPr>
          <w:rFonts w:ascii="Times New Roman" w:hAnsi="Times New Roman"/>
          <w:bCs/>
        </w:rPr>
        <w:t xml:space="preserve"> 4 step RACH configuration for SDT</w:t>
      </w:r>
    </w:p>
    <w:p w:rsidR="001852F3" w:rsidRPr="001B3CCF" w:rsidRDefault="00DD21D8" w:rsidP="00DA3A2C">
      <w:pPr>
        <w:pStyle w:val="CRCoverPage"/>
        <w:numPr>
          <w:ilvl w:val="1"/>
          <w:numId w:val="11"/>
        </w:numPr>
        <w:jc w:val="both"/>
        <w:rPr>
          <w:rFonts w:ascii="Times New Roman" w:hAnsi="Times New Roman"/>
          <w:bCs/>
          <w:lang w:val="en-US"/>
        </w:rPr>
      </w:pPr>
      <w:r w:rsidRPr="001B3CCF">
        <w:rPr>
          <w:rFonts w:ascii="Times New Roman" w:hAnsi="Times New Roman"/>
          <w:bCs/>
        </w:rPr>
        <w:t>UE applies these parameters</w:t>
      </w:r>
      <w:r w:rsidR="00DA3A2C" w:rsidRPr="001B3CCF">
        <w:rPr>
          <w:rFonts w:ascii="Times New Roman" w:hAnsi="Times New Roman"/>
          <w:bCs/>
        </w:rPr>
        <w:t xml:space="preserve"> when RACH is initiated for SDT</w:t>
      </w:r>
    </w:p>
    <w:p w:rsidR="001852F3" w:rsidRPr="001B3CCF" w:rsidRDefault="00DD21D8" w:rsidP="00DA3A2C">
      <w:pPr>
        <w:pStyle w:val="CRCoverPage"/>
        <w:jc w:val="both"/>
        <w:rPr>
          <w:rFonts w:ascii="Times New Roman" w:hAnsi="Times New Roman"/>
          <w:b/>
        </w:rPr>
      </w:pPr>
      <w:r w:rsidRPr="001B3CCF">
        <w:rPr>
          <w:rFonts w:ascii="Times New Roman" w:hAnsi="Times New Roman"/>
          <w:b/>
        </w:rPr>
        <w:t xml:space="preserve"> </w:t>
      </w:r>
    </w:p>
    <w:p w:rsidR="00DA3A2C" w:rsidRPr="001B3CCF" w:rsidRDefault="00DA3A2C" w:rsidP="00DA3A2C">
      <w:pPr>
        <w:pStyle w:val="CRCoverPage"/>
        <w:numPr>
          <w:ilvl w:val="0"/>
          <w:numId w:val="11"/>
        </w:numPr>
        <w:jc w:val="both"/>
        <w:rPr>
          <w:rFonts w:ascii="Times New Roman" w:hAnsi="Times New Roman"/>
          <w:bCs/>
          <w:lang w:val="en-US"/>
        </w:rPr>
      </w:pPr>
      <w:r w:rsidRPr="001B3CCF">
        <w:rPr>
          <w:rFonts w:ascii="Times New Roman" w:hAnsi="Times New Roman"/>
          <w:bCs/>
        </w:rPr>
        <w:t xml:space="preserve">Option 2: </w:t>
      </w:r>
    </w:p>
    <w:p w:rsidR="001852F3" w:rsidRPr="001B3CCF" w:rsidRDefault="00DD21D8" w:rsidP="00DA3A2C">
      <w:pPr>
        <w:pStyle w:val="CRCoverPage"/>
        <w:numPr>
          <w:ilvl w:val="1"/>
          <w:numId w:val="11"/>
        </w:numPr>
        <w:jc w:val="both"/>
        <w:rPr>
          <w:rFonts w:ascii="Times New Roman" w:hAnsi="Times New Roman"/>
          <w:bCs/>
          <w:lang w:val="en-US"/>
        </w:rPr>
      </w:pPr>
      <w:r w:rsidRPr="001B3CCF">
        <w:rPr>
          <w:rFonts w:ascii="Times New Roman" w:hAnsi="Times New Roman"/>
          <w:bCs/>
        </w:rPr>
        <w:t>Upon transmission of Random access preamble for SDT, if UE receives RAR/</w:t>
      </w:r>
      <w:proofErr w:type="spellStart"/>
      <w:r w:rsidRPr="001B3CCF">
        <w:rPr>
          <w:rFonts w:ascii="Times New Roman" w:hAnsi="Times New Roman"/>
          <w:bCs/>
        </w:rPr>
        <w:t>MsgB</w:t>
      </w:r>
      <w:proofErr w:type="spellEnd"/>
      <w:r w:rsidRPr="001B3CCF">
        <w:rPr>
          <w:rFonts w:ascii="Times New Roman" w:hAnsi="Times New Roman"/>
          <w:bCs/>
        </w:rPr>
        <w:t xml:space="preserve"> (including BI sub</w:t>
      </w:r>
      <w:r w:rsidR="001B3CCF" w:rsidRPr="001B3CCF">
        <w:rPr>
          <w:rFonts w:ascii="Times New Roman" w:hAnsi="Times New Roman"/>
          <w:bCs/>
        </w:rPr>
        <w:t xml:space="preserve"> </w:t>
      </w:r>
      <w:r w:rsidRPr="001B3CCF">
        <w:rPr>
          <w:rFonts w:ascii="Times New Roman" w:hAnsi="Times New Roman"/>
          <w:bCs/>
        </w:rPr>
        <w:t>header), UE ignores the BI</w:t>
      </w:r>
    </w:p>
    <w:p w:rsidR="00DA3A2C" w:rsidRPr="001B3CCF" w:rsidRDefault="001B3CCF" w:rsidP="00517EE4">
      <w:pPr>
        <w:pStyle w:val="CRCoverPage"/>
        <w:rPr>
          <w:rFonts w:ascii="Times New Roman" w:hAnsi="Times New Roman"/>
          <w:bCs/>
        </w:rPr>
      </w:pPr>
      <w:r w:rsidRPr="001B3CCF">
        <w:rPr>
          <w:rFonts w:ascii="Times New Roman" w:hAnsi="Times New Roman" w:hint="eastAsia"/>
          <w:bCs/>
        </w:rPr>
        <w:t>O</w:t>
      </w:r>
      <w:r w:rsidRPr="001B3CCF">
        <w:rPr>
          <w:rFonts w:ascii="Times New Roman" w:hAnsi="Times New Roman"/>
          <w:bCs/>
        </w:rPr>
        <w:t>ption 1 is aligned with existing mechanism for certain events (such as initial access by MPS/MCS UE, BFR, Handover) which trigger random access. So our preference is to use option 1.</w:t>
      </w:r>
    </w:p>
    <w:p w:rsidR="00BE60FF" w:rsidRPr="00BE60FF" w:rsidRDefault="007E0D9F" w:rsidP="00BE60FF">
      <w:pPr>
        <w:pStyle w:val="CRCoverPage"/>
        <w:ind w:left="1200" w:hangingChars="600" w:hanging="1200"/>
        <w:jc w:val="both"/>
        <w:rPr>
          <w:rFonts w:ascii="Times New Roman" w:hAnsi="Times New Roman"/>
          <w:b/>
        </w:rPr>
      </w:pPr>
      <w:r>
        <w:rPr>
          <w:rFonts w:ascii="Times New Roman" w:hAnsi="Times New Roman"/>
          <w:b/>
        </w:rPr>
        <w:t>Proposal 1</w:t>
      </w:r>
      <w:r w:rsidR="00BE60FF">
        <w:rPr>
          <w:rFonts w:ascii="Times New Roman" w:hAnsi="Times New Roman"/>
          <w:b/>
        </w:rPr>
        <w:t xml:space="preserve">: </w:t>
      </w:r>
      <w:r w:rsidR="001B3CCF" w:rsidRPr="00BE60FF">
        <w:rPr>
          <w:rFonts w:ascii="Times New Roman" w:hAnsi="Times New Roman"/>
          <w:b/>
        </w:rPr>
        <w:t>powerRampingStepHighPriority</w:t>
      </w:r>
      <w:r w:rsidR="00BE60FF" w:rsidRPr="00BE60FF">
        <w:rPr>
          <w:rFonts w:ascii="Times New Roman" w:hAnsi="Times New Roman"/>
          <w:b/>
        </w:rPr>
        <w:t>SDT</w:t>
      </w:r>
      <w:r w:rsidR="001B3CCF" w:rsidRPr="00BE60FF">
        <w:rPr>
          <w:rFonts w:ascii="Times New Roman" w:hAnsi="Times New Roman"/>
          <w:b/>
        </w:rPr>
        <w:t xml:space="preserve"> and scalingFactorBI</w:t>
      </w:r>
      <w:r w:rsidR="00BE60FF" w:rsidRPr="00BE60FF">
        <w:rPr>
          <w:rFonts w:ascii="Times New Roman" w:hAnsi="Times New Roman"/>
          <w:b/>
        </w:rPr>
        <w:t>SDT</w:t>
      </w:r>
      <w:r w:rsidR="001B3CCF" w:rsidRPr="00BE60FF">
        <w:rPr>
          <w:rFonts w:ascii="Times New Roman" w:hAnsi="Times New Roman"/>
          <w:b/>
        </w:rPr>
        <w:t xml:space="preserve"> are signaled in RACH configuration for SDT.</w:t>
      </w:r>
      <w:r w:rsidR="00BE60FF" w:rsidRPr="00BE60FF">
        <w:rPr>
          <w:rFonts w:ascii="Times New Roman" w:hAnsi="Times New Roman"/>
          <w:b/>
        </w:rPr>
        <w:t xml:space="preserve"> </w:t>
      </w:r>
    </w:p>
    <w:p w:rsidR="001B3CCF" w:rsidRPr="00D0669F" w:rsidRDefault="001B3CCF" w:rsidP="00BE60FF">
      <w:pPr>
        <w:pStyle w:val="CRCoverPage"/>
        <w:numPr>
          <w:ilvl w:val="3"/>
          <w:numId w:val="2"/>
        </w:numPr>
        <w:jc w:val="both"/>
        <w:rPr>
          <w:rFonts w:ascii="Times New Roman" w:hAnsi="Times New Roman"/>
          <w:b/>
          <w:lang w:val="en-US"/>
        </w:rPr>
      </w:pPr>
      <w:r w:rsidRPr="00BE60FF">
        <w:rPr>
          <w:rFonts w:ascii="Times New Roman" w:hAnsi="Times New Roman"/>
          <w:b/>
        </w:rPr>
        <w:t>These parameters are separately signaled for 2 step RACH configuration for SDT and 4 step RACH configuration for SDT</w:t>
      </w:r>
      <w:r w:rsidR="00BE60FF" w:rsidRPr="00BE60FF">
        <w:rPr>
          <w:rFonts w:ascii="Times New Roman" w:hAnsi="Times New Roman" w:hint="eastAsia"/>
          <w:b/>
          <w:lang w:val="en-US"/>
        </w:rPr>
        <w:t xml:space="preserve">. </w:t>
      </w:r>
      <w:r w:rsidRPr="00BE60FF">
        <w:rPr>
          <w:rFonts w:ascii="Times New Roman" w:hAnsi="Times New Roman"/>
          <w:b/>
        </w:rPr>
        <w:t>UE applies these parameters when RACH is initiated for SDT</w:t>
      </w:r>
    </w:p>
    <w:p w:rsidR="00D0669F" w:rsidRPr="006E4FAE" w:rsidRDefault="006E4FAE" w:rsidP="00D0669F">
      <w:pPr>
        <w:pStyle w:val="Heading2"/>
        <w:tabs>
          <w:tab w:val="clear" w:pos="4262"/>
        </w:tabs>
        <w:ind w:left="0" w:firstLine="0"/>
        <w:rPr>
          <w:sz w:val="26"/>
          <w:szCs w:val="26"/>
        </w:rPr>
      </w:pPr>
      <w:r w:rsidRPr="006E4FAE">
        <w:rPr>
          <w:sz w:val="26"/>
          <w:szCs w:val="26"/>
          <w:lang w:val="en-GB"/>
        </w:rPr>
        <w:t>I</w:t>
      </w:r>
      <w:r w:rsidR="00D0669F" w:rsidRPr="006E4FAE">
        <w:rPr>
          <w:sz w:val="26"/>
          <w:szCs w:val="26"/>
        </w:rPr>
        <w:t xml:space="preserve">ndication </w:t>
      </w:r>
      <w:r w:rsidRPr="006E4FAE">
        <w:rPr>
          <w:sz w:val="26"/>
          <w:szCs w:val="26"/>
        </w:rPr>
        <w:t xml:space="preserve">to </w:t>
      </w:r>
      <w:r w:rsidRPr="006E4FAE">
        <w:rPr>
          <w:bCs w:val="0"/>
          <w:sz w:val="26"/>
          <w:szCs w:val="26"/>
        </w:rPr>
        <w:t>switch to non-SDT procedure</w:t>
      </w:r>
      <w:r w:rsidRPr="006E4FAE">
        <w:rPr>
          <w:sz w:val="26"/>
          <w:szCs w:val="26"/>
        </w:rPr>
        <w:t xml:space="preserve"> </w:t>
      </w:r>
      <w:r w:rsidR="00D0669F" w:rsidRPr="006E4FAE">
        <w:rPr>
          <w:sz w:val="26"/>
          <w:szCs w:val="26"/>
        </w:rPr>
        <w:t>in RAR/FallbackRAR</w:t>
      </w:r>
    </w:p>
    <w:p w:rsidR="00312FBA" w:rsidRDefault="00312FBA" w:rsidP="00312FBA">
      <w:pPr>
        <w:pStyle w:val="Doc-text2"/>
        <w:tabs>
          <w:tab w:val="clear" w:pos="1622"/>
          <w:tab w:val="left" w:pos="526"/>
        </w:tabs>
        <w:ind w:left="0" w:firstLine="0"/>
        <w:rPr>
          <w:rFonts w:ascii="Times New Roman" w:hAnsi="Times New Roman"/>
          <w:b/>
          <w:szCs w:val="20"/>
          <w:lang w:val="en-US" w:eastAsia="en-US"/>
        </w:rPr>
      </w:pPr>
    </w:p>
    <w:p w:rsidR="00312FBA" w:rsidRDefault="00312FBA" w:rsidP="00312FBA">
      <w:pPr>
        <w:pStyle w:val="Doc-text2"/>
        <w:tabs>
          <w:tab w:val="clear" w:pos="1622"/>
          <w:tab w:val="left" w:pos="526"/>
        </w:tabs>
        <w:ind w:left="0" w:firstLine="0"/>
        <w:jc w:val="both"/>
        <w:rPr>
          <w:rFonts w:ascii="Times New Roman" w:hAnsi="Times New Roman"/>
          <w:bCs/>
          <w:lang w:val="en-US"/>
        </w:rPr>
      </w:pPr>
      <w:r w:rsidRPr="00312FBA">
        <w:rPr>
          <w:rFonts w:ascii="Times New Roman" w:hAnsi="Times New Roman"/>
          <w:bCs/>
          <w:szCs w:val="20"/>
          <w:lang w:val="en-US" w:eastAsia="en-US"/>
        </w:rPr>
        <w:lastRenderedPageBreak/>
        <w:t>In RAN2 #113bis</w:t>
      </w:r>
      <w:r w:rsidR="00DD21D8">
        <w:rPr>
          <w:rFonts w:ascii="Times New Roman" w:hAnsi="Times New Roman"/>
          <w:bCs/>
          <w:szCs w:val="20"/>
          <w:lang w:val="en-US" w:eastAsia="en-US"/>
        </w:rPr>
        <w:t xml:space="preserve"> [1]</w:t>
      </w:r>
      <w:r w:rsidRPr="00312FBA">
        <w:rPr>
          <w:rFonts w:ascii="Times New Roman" w:hAnsi="Times New Roman"/>
          <w:bCs/>
          <w:szCs w:val="20"/>
          <w:lang w:val="en-US" w:eastAsia="en-US"/>
        </w:rPr>
        <w:t xml:space="preserve">, it was agreed that </w:t>
      </w:r>
      <w:r w:rsidRPr="00312FBA">
        <w:rPr>
          <w:rFonts w:ascii="Times New Roman" w:hAnsi="Times New Roman"/>
          <w:bCs/>
          <w:lang w:val="en-US"/>
        </w:rPr>
        <w:t>UE switches from SDT to non-SDT when UE receive indication from network to switch to non-SDT procedure. Network can send RRCResume. FFS whether network can send indication in RAR/fallbackRAR/DCI to switch to non-SDT procedure.</w:t>
      </w:r>
    </w:p>
    <w:p w:rsidR="00312FBA" w:rsidRDefault="00312FBA" w:rsidP="00312FBA">
      <w:pPr>
        <w:pStyle w:val="Doc-text2"/>
        <w:tabs>
          <w:tab w:val="clear" w:pos="1622"/>
          <w:tab w:val="left" w:pos="526"/>
        </w:tabs>
        <w:ind w:left="0" w:firstLine="0"/>
        <w:jc w:val="both"/>
        <w:rPr>
          <w:rFonts w:ascii="Times New Roman" w:hAnsi="Times New Roman"/>
          <w:bCs/>
          <w:lang w:val="en-US"/>
        </w:rPr>
      </w:pPr>
    </w:p>
    <w:p w:rsidR="00312FBA" w:rsidRDefault="00312FBA" w:rsidP="00312FBA">
      <w:pPr>
        <w:pStyle w:val="Doc-text2"/>
        <w:tabs>
          <w:tab w:val="clear" w:pos="1622"/>
          <w:tab w:val="left" w:pos="526"/>
        </w:tabs>
        <w:ind w:left="0" w:firstLine="0"/>
        <w:jc w:val="both"/>
        <w:rPr>
          <w:rFonts w:ascii="Times New Roman" w:hAnsi="Times New Roman"/>
          <w:bCs/>
          <w:lang w:val="en-US"/>
        </w:rPr>
      </w:pPr>
      <w:r>
        <w:rPr>
          <w:rFonts w:ascii="Times New Roman" w:hAnsi="Times New Roman"/>
          <w:bCs/>
          <w:lang w:val="en-US"/>
        </w:rPr>
        <w:t xml:space="preserve">Network can send RRCResume only if it has received Msg3 and MsgA from UE. However, in cases where RACH resources for SDT are congested and network wants to switch UE from using SDT RACH resources to non-SDT RACH resources, </w:t>
      </w:r>
      <w:r w:rsidRPr="00312FBA">
        <w:rPr>
          <w:rFonts w:ascii="Times New Roman" w:hAnsi="Times New Roman"/>
          <w:bCs/>
          <w:lang w:val="en-US"/>
        </w:rPr>
        <w:t>network can send indication in RAR/fallbackRAR/DCI to switch to non-SDT procedure</w:t>
      </w:r>
      <w:r w:rsidR="002A2D9A">
        <w:rPr>
          <w:rFonts w:ascii="Times New Roman" w:hAnsi="Times New Roman"/>
          <w:bCs/>
          <w:lang w:val="en-US"/>
        </w:rPr>
        <w:t>.</w:t>
      </w:r>
    </w:p>
    <w:p w:rsidR="002A2D9A" w:rsidRDefault="002A2D9A" w:rsidP="00312FBA">
      <w:pPr>
        <w:pStyle w:val="Doc-text2"/>
        <w:tabs>
          <w:tab w:val="clear" w:pos="1622"/>
          <w:tab w:val="left" w:pos="526"/>
        </w:tabs>
        <w:ind w:left="0" w:firstLine="0"/>
        <w:jc w:val="both"/>
        <w:rPr>
          <w:rFonts w:ascii="Times New Roman" w:hAnsi="Times New Roman"/>
          <w:bCs/>
          <w:lang w:val="en-US"/>
        </w:rPr>
      </w:pPr>
    </w:p>
    <w:p w:rsidR="00312FBA" w:rsidRDefault="007E0D9F" w:rsidP="002A2D9A">
      <w:pPr>
        <w:pStyle w:val="Doc-text2"/>
        <w:tabs>
          <w:tab w:val="clear" w:pos="1622"/>
          <w:tab w:val="left" w:pos="526"/>
        </w:tabs>
        <w:ind w:left="0" w:firstLine="0"/>
        <w:jc w:val="both"/>
        <w:rPr>
          <w:rFonts w:ascii="Times New Roman" w:hAnsi="Times New Roman"/>
          <w:b/>
          <w:lang w:val="en-US"/>
        </w:rPr>
      </w:pPr>
      <w:r>
        <w:rPr>
          <w:rFonts w:ascii="Times New Roman" w:hAnsi="Times New Roman"/>
          <w:b/>
          <w:lang w:val="en-US"/>
        </w:rPr>
        <w:t>Proposal 2</w:t>
      </w:r>
      <w:r w:rsidR="002A2D9A" w:rsidRPr="002A2D9A">
        <w:rPr>
          <w:rFonts w:ascii="Times New Roman" w:hAnsi="Times New Roman"/>
          <w:b/>
          <w:lang w:val="en-US"/>
        </w:rPr>
        <w:t>: Network can send indication in RAR/fallbackRAR/DCI to switch to non-SDT procedure</w:t>
      </w:r>
    </w:p>
    <w:p w:rsidR="00026668" w:rsidRDefault="00026668" w:rsidP="002A2D9A">
      <w:pPr>
        <w:pStyle w:val="Doc-text2"/>
        <w:tabs>
          <w:tab w:val="clear" w:pos="1622"/>
          <w:tab w:val="left" w:pos="526"/>
        </w:tabs>
        <w:ind w:left="0" w:firstLine="0"/>
        <w:jc w:val="both"/>
        <w:rPr>
          <w:rFonts w:ascii="Times New Roman" w:hAnsi="Times New Roman"/>
          <w:b/>
          <w:lang w:val="en-US"/>
        </w:rPr>
      </w:pPr>
    </w:p>
    <w:p w:rsidR="00026668" w:rsidRPr="00906446" w:rsidRDefault="00026668" w:rsidP="00026668">
      <w:pPr>
        <w:pStyle w:val="Heading2"/>
        <w:tabs>
          <w:tab w:val="clear" w:pos="4262"/>
        </w:tabs>
        <w:ind w:left="0" w:firstLine="0"/>
        <w:rPr>
          <w:sz w:val="26"/>
          <w:szCs w:val="26"/>
        </w:rPr>
      </w:pPr>
      <w:r>
        <w:rPr>
          <w:sz w:val="26"/>
          <w:szCs w:val="26"/>
        </w:rPr>
        <w:t>TAT handling during the SDT procedure</w:t>
      </w:r>
    </w:p>
    <w:p w:rsidR="00026668" w:rsidRDefault="006E4FAE" w:rsidP="00FE6BD3">
      <w:pPr>
        <w:pStyle w:val="B1"/>
        <w:spacing w:line="276" w:lineRule="auto"/>
        <w:ind w:left="0" w:firstLine="0"/>
        <w:jc w:val="both"/>
      </w:pPr>
      <w:r>
        <w:t>SDT procedure continues upon completion of random access procedure initiated for SDT. W</w:t>
      </w:r>
      <w:r w:rsidR="00026668">
        <w:t xml:space="preserve">hile </w:t>
      </w:r>
      <w:r>
        <w:t xml:space="preserve">the </w:t>
      </w:r>
      <w:r w:rsidR="00026668">
        <w:t>SDT procedure is ongoing, TAT timer may expire. In this case one of the following operations can be performed</w:t>
      </w:r>
    </w:p>
    <w:p w:rsidR="00026668" w:rsidRDefault="00026668" w:rsidP="00FE6BD3">
      <w:pPr>
        <w:pStyle w:val="B1"/>
        <w:numPr>
          <w:ilvl w:val="0"/>
          <w:numId w:val="14"/>
        </w:numPr>
        <w:spacing w:line="276" w:lineRule="auto"/>
        <w:jc w:val="both"/>
      </w:pPr>
      <w:r>
        <w:t xml:space="preserve">Option 1: </w:t>
      </w:r>
      <w:r>
        <w:rPr>
          <w:rFonts w:hint="eastAsia"/>
        </w:rPr>
        <w:t>UE terminates the ongoing SDT procedure</w:t>
      </w:r>
    </w:p>
    <w:p w:rsidR="00DC0E27" w:rsidRDefault="00026668" w:rsidP="00FE6BD3">
      <w:pPr>
        <w:pStyle w:val="B1"/>
        <w:numPr>
          <w:ilvl w:val="0"/>
          <w:numId w:val="14"/>
        </w:numPr>
        <w:spacing w:line="276" w:lineRule="auto"/>
        <w:jc w:val="both"/>
      </w:pPr>
      <w:r>
        <w:t xml:space="preserve">Option 2: </w:t>
      </w:r>
      <w:r>
        <w:rPr>
          <w:rFonts w:hint="eastAsia"/>
        </w:rPr>
        <w:t xml:space="preserve">UE </w:t>
      </w:r>
      <w:r>
        <w:t xml:space="preserve">does not </w:t>
      </w:r>
      <w:r>
        <w:rPr>
          <w:rFonts w:hint="eastAsia"/>
        </w:rPr>
        <w:t>terminates the ongoing SDT procedure</w:t>
      </w:r>
      <w:r>
        <w:t xml:space="preserve">. UE suspends the UL transmission (except </w:t>
      </w:r>
      <w:r w:rsidRPr="000F3B30">
        <w:rPr>
          <w:noProof/>
          <w:lang w:eastAsia="zh-CN"/>
        </w:rPr>
        <w:t>Random Access Preamble and MSGA transmission</w:t>
      </w:r>
      <w:r>
        <w:t xml:space="preserve">). UE waits for PDCCH order from gNB. Upon </w:t>
      </w:r>
      <w:r w:rsidR="006E4FAE">
        <w:t>receiving</w:t>
      </w:r>
      <w:r>
        <w:t xml:space="preserve"> PDCCH order, UE initiates the RACH and TAT timer will get re-started. </w:t>
      </w:r>
    </w:p>
    <w:p w:rsidR="00DC0E27" w:rsidRDefault="00026668" w:rsidP="00FE6BD3">
      <w:pPr>
        <w:pStyle w:val="B1"/>
        <w:numPr>
          <w:ilvl w:val="0"/>
          <w:numId w:val="14"/>
        </w:numPr>
        <w:spacing w:line="276" w:lineRule="auto"/>
        <w:jc w:val="both"/>
      </w:pPr>
      <w:r>
        <w:t xml:space="preserve">Option 3: </w:t>
      </w:r>
      <w:r>
        <w:rPr>
          <w:rFonts w:hint="eastAsia"/>
        </w:rPr>
        <w:t xml:space="preserve">UE </w:t>
      </w:r>
      <w:r>
        <w:t xml:space="preserve">does not </w:t>
      </w:r>
      <w:r>
        <w:rPr>
          <w:rFonts w:hint="eastAsia"/>
        </w:rPr>
        <w:t>terminates the ongoing SDT procedure</w:t>
      </w:r>
      <w:r>
        <w:t xml:space="preserve">. UE suspends the UL transmission (except </w:t>
      </w:r>
      <w:r w:rsidRPr="000F3B30">
        <w:rPr>
          <w:noProof/>
          <w:lang w:eastAsia="zh-CN"/>
        </w:rPr>
        <w:t>Random Access Preamble and MSGA transmission</w:t>
      </w:r>
      <w:r>
        <w:t>). UE initiates RACH.</w:t>
      </w:r>
    </w:p>
    <w:p w:rsidR="00026668" w:rsidRPr="005D6118" w:rsidRDefault="00026668" w:rsidP="00FE6BD3">
      <w:pPr>
        <w:pStyle w:val="B1"/>
        <w:spacing w:line="276" w:lineRule="auto"/>
        <w:ind w:left="360" w:firstLine="0"/>
        <w:jc w:val="both"/>
      </w:pPr>
      <w:r>
        <w:t xml:space="preserve">Note that </w:t>
      </w:r>
      <w:r w:rsidR="00DC0E27">
        <w:t xml:space="preserve">in option 2/3, </w:t>
      </w:r>
      <w:r>
        <w:t>UE transmit</w:t>
      </w:r>
      <w:r w:rsidR="00DC0E27">
        <w:t>s</w:t>
      </w:r>
      <w:r>
        <w:t xml:space="preserve"> C-RNTI MAC CE in MsgA or Msg3 to gNB </w:t>
      </w:r>
      <w:r w:rsidR="00DC0E27">
        <w:t xml:space="preserve">during RACH procedure initiated by PDCCH order/UE for TAT handling. </w:t>
      </w:r>
      <w:r>
        <w:t>C-RNTI MAC CE include</w:t>
      </w:r>
      <w:r w:rsidR="00DC0E27">
        <w:t>s</w:t>
      </w:r>
      <w:r>
        <w:t xml:space="preserve"> the C-RNTI being used by UE for SDT procedure (i.e. the one which is received by UE during the RACH initiated for SDT.). RACH configuration used by UE for this RACH initiated by PDCCH order </w:t>
      </w:r>
      <w:r w:rsidR="00DC0E27">
        <w:t>is the non SDT RACH configuration.</w:t>
      </w:r>
    </w:p>
    <w:p w:rsidR="00026668" w:rsidRPr="00DC0E27" w:rsidRDefault="00DC0E27" w:rsidP="00FE6BD3">
      <w:pPr>
        <w:pStyle w:val="Doc-text2"/>
        <w:tabs>
          <w:tab w:val="clear" w:pos="1622"/>
          <w:tab w:val="left" w:pos="526"/>
        </w:tabs>
        <w:spacing w:line="276" w:lineRule="auto"/>
        <w:ind w:left="1000" w:hangingChars="500" w:hanging="1000"/>
        <w:jc w:val="both"/>
        <w:rPr>
          <w:rFonts w:ascii="Times New Roman" w:hAnsi="Times New Roman"/>
          <w:b/>
          <w:lang w:val="en-US"/>
        </w:rPr>
      </w:pPr>
      <w:r w:rsidRPr="00DC0E27">
        <w:rPr>
          <w:rFonts w:ascii="Times New Roman" w:hAnsi="Times New Roman" w:hint="eastAsia"/>
          <w:b/>
          <w:lang w:val="en-US"/>
        </w:rPr>
        <w:t xml:space="preserve">Proposal </w:t>
      </w:r>
      <w:r w:rsidR="007E0D9F">
        <w:rPr>
          <w:rFonts w:ascii="Times New Roman" w:hAnsi="Times New Roman"/>
          <w:b/>
          <w:lang w:val="en-US"/>
        </w:rPr>
        <w:t>3</w:t>
      </w:r>
      <w:r w:rsidRPr="00DC0E27">
        <w:rPr>
          <w:rFonts w:ascii="Times New Roman" w:hAnsi="Times New Roman"/>
          <w:b/>
          <w:lang w:val="en-US"/>
        </w:rPr>
        <w:t>: RAN2 to discuss and agree on one of the following options for handling TAT expiry during the SDT procedure.</w:t>
      </w:r>
    </w:p>
    <w:p w:rsidR="00DC0E27" w:rsidRPr="00DC0E27" w:rsidRDefault="00DC0E27" w:rsidP="00FE6BD3">
      <w:pPr>
        <w:pStyle w:val="Doc-text2"/>
        <w:tabs>
          <w:tab w:val="clear" w:pos="1622"/>
          <w:tab w:val="left" w:pos="526"/>
        </w:tabs>
        <w:spacing w:line="276" w:lineRule="auto"/>
        <w:ind w:left="0" w:firstLine="0"/>
        <w:jc w:val="both"/>
        <w:rPr>
          <w:rFonts w:ascii="Times New Roman" w:hAnsi="Times New Roman"/>
          <w:b/>
          <w:lang w:val="en-US"/>
        </w:rPr>
      </w:pPr>
    </w:p>
    <w:p w:rsidR="00DC0E27" w:rsidRPr="00DC0E27" w:rsidRDefault="00DC0E27" w:rsidP="00FE6BD3">
      <w:pPr>
        <w:pStyle w:val="B1"/>
        <w:numPr>
          <w:ilvl w:val="4"/>
          <w:numId w:val="15"/>
        </w:numPr>
        <w:spacing w:line="276" w:lineRule="auto"/>
        <w:jc w:val="both"/>
        <w:rPr>
          <w:b/>
        </w:rPr>
      </w:pPr>
      <w:r w:rsidRPr="00DC0E27">
        <w:rPr>
          <w:b/>
        </w:rPr>
        <w:t xml:space="preserve">Option 1: </w:t>
      </w:r>
      <w:r w:rsidRPr="00DC0E27">
        <w:rPr>
          <w:rFonts w:hint="eastAsia"/>
          <w:b/>
        </w:rPr>
        <w:t>UE terminates the ongoing SDT procedure</w:t>
      </w:r>
    </w:p>
    <w:p w:rsidR="00DC0E27" w:rsidRPr="00DC0E27" w:rsidRDefault="00DC0E27" w:rsidP="00FE6BD3">
      <w:pPr>
        <w:pStyle w:val="B1"/>
        <w:numPr>
          <w:ilvl w:val="4"/>
          <w:numId w:val="15"/>
        </w:numPr>
        <w:spacing w:line="276" w:lineRule="auto"/>
        <w:jc w:val="both"/>
        <w:rPr>
          <w:b/>
        </w:rPr>
      </w:pPr>
      <w:r w:rsidRPr="00DC0E27">
        <w:rPr>
          <w:b/>
        </w:rPr>
        <w:t xml:space="preserve">Option 2: </w:t>
      </w:r>
      <w:r w:rsidRPr="00DC0E27">
        <w:rPr>
          <w:rFonts w:hint="eastAsia"/>
          <w:b/>
        </w:rPr>
        <w:t xml:space="preserve">UE </w:t>
      </w:r>
      <w:r w:rsidRPr="00DC0E27">
        <w:rPr>
          <w:b/>
        </w:rPr>
        <w:t xml:space="preserve">does not </w:t>
      </w:r>
      <w:r w:rsidRPr="00DC0E27">
        <w:rPr>
          <w:rFonts w:hint="eastAsia"/>
          <w:b/>
        </w:rPr>
        <w:t>terminates the ongoing SDT procedure</w:t>
      </w:r>
      <w:r w:rsidRPr="00DC0E27">
        <w:rPr>
          <w:b/>
        </w:rPr>
        <w:t xml:space="preserve">. UE suspends the UL transmission (except </w:t>
      </w:r>
      <w:r w:rsidRPr="00DC0E27">
        <w:rPr>
          <w:b/>
          <w:noProof/>
          <w:lang w:eastAsia="zh-CN"/>
        </w:rPr>
        <w:t>Random Access Preamble and MSGA transmission</w:t>
      </w:r>
      <w:r w:rsidRPr="00DC0E27">
        <w:rPr>
          <w:b/>
        </w:rPr>
        <w:t xml:space="preserve">). UE waits for PDCCH order from gNB. Upon receiving PDCCH order, UE initiates the RACH and TAT timer will get re-started. </w:t>
      </w:r>
    </w:p>
    <w:p w:rsidR="00DC0E27" w:rsidRDefault="00DC0E27" w:rsidP="00FE6BD3">
      <w:pPr>
        <w:pStyle w:val="B1"/>
        <w:numPr>
          <w:ilvl w:val="4"/>
          <w:numId w:val="15"/>
        </w:numPr>
        <w:spacing w:line="276" w:lineRule="auto"/>
        <w:jc w:val="both"/>
        <w:rPr>
          <w:b/>
        </w:rPr>
      </w:pPr>
      <w:r w:rsidRPr="00DC0E27">
        <w:rPr>
          <w:b/>
        </w:rPr>
        <w:t xml:space="preserve">Option 3: </w:t>
      </w:r>
      <w:r w:rsidRPr="00DC0E27">
        <w:rPr>
          <w:rFonts w:hint="eastAsia"/>
          <w:b/>
        </w:rPr>
        <w:t xml:space="preserve">UE </w:t>
      </w:r>
      <w:r w:rsidRPr="00DC0E27">
        <w:rPr>
          <w:b/>
        </w:rPr>
        <w:t xml:space="preserve">does not </w:t>
      </w:r>
      <w:r w:rsidRPr="00DC0E27">
        <w:rPr>
          <w:rFonts w:hint="eastAsia"/>
          <w:b/>
        </w:rPr>
        <w:t>terminates the ongoing SDT procedure</w:t>
      </w:r>
      <w:r w:rsidRPr="00DC0E27">
        <w:rPr>
          <w:b/>
        </w:rPr>
        <w:t xml:space="preserve">. UE suspends the UL transmission (except </w:t>
      </w:r>
      <w:r w:rsidRPr="00DC0E27">
        <w:rPr>
          <w:b/>
          <w:noProof/>
          <w:lang w:eastAsia="zh-CN"/>
        </w:rPr>
        <w:t>Random Access Preamble and MSGA transmission</w:t>
      </w:r>
      <w:r w:rsidRPr="00DC0E27">
        <w:rPr>
          <w:b/>
        </w:rPr>
        <w:t>). UE initiates RACH.</w:t>
      </w:r>
    </w:p>
    <w:p w:rsidR="007E0887" w:rsidRPr="007E0887" w:rsidRDefault="007E0887" w:rsidP="007E0887">
      <w:pPr>
        <w:pStyle w:val="Heading2"/>
        <w:tabs>
          <w:tab w:val="clear" w:pos="4262"/>
        </w:tabs>
        <w:ind w:left="0" w:firstLine="0"/>
        <w:rPr>
          <w:sz w:val="26"/>
          <w:szCs w:val="26"/>
        </w:rPr>
      </w:pPr>
      <w:r w:rsidRPr="007E0887">
        <w:rPr>
          <w:sz w:val="26"/>
          <w:szCs w:val="26"/>
        </w:rPr>
        <w:t>Handling SSB</w:t>
      </w:r>
      <w:r>
        <w:rPr>
          <w:sz w:val="26"/>
          <w:szCs w:val="26"/>
        </w:rPr>
        <w:t xml:space="preserve"> change during the </w:t>
      </w:r>
      <w:r w:rsidRPr="007E0887">
        <w:rPr>
          <w:sz w:val="26"/>
          <w:szCs w:val="26"/>
        </w:rPr>
        <w:t>SDT procedure</w:t>
      </w:r>
    </w:p>
    <w:p w:rsidR="007E0887" w:rsidRPr="007E0887" w:rsidRDefault="007E0887" w:rsidP="00FE6BD3">
      <w:pPr>
        <w:spacing w:line="276" w:lineRule="auto"/>
        <w:jc w:val="both"/>
        <w:rPr>
          <w:rFonts w:eastAsia="DengXian"/>
          <w:bCs/>
        </w:rPr>
      </w:pPr>
      <w:r w:rsidRPr="007E0887">
        <w:rPr>
          <w:rFonts w:eastAsia="DengXian"/>
          <w:bCs/>
        </w:rPr>
        <w:t xml:space="preserve">Upon completion of RA procedure for SDT, for subsequent UL/DL transmissions in RRC_INACTIVE state, UE monitors PDCCH addressed to C-RNTI. PDCCH transmission/reception is </w:t>
      </w:r>
      <w:proofErr w:type="spellStart"/>
      <w:r w:rsidRPr="007E0887">
        <w:rPr>
          <w:rFonts w:eastAsia="DengXian"/>
          <w:bCs/>
        </w:rPr>
        <w:t>QCLed</w:t>
      </w:r>
      <w:proofErr w:type="spellEnd"/>
      <w:r w:rsidRPr="007E0887">
        <w:rPr>
          <w:rFonts w:eastAsia="DengXian"/>
          <w:bCs/>
        </w:rPr>
        <w:t xml:space="preserve"> with SSB identified during the RA procedure. How to handle the case if SSB identified during RA procedure is no longer suitable? If UE continues PDCCH monitoring using SSB which is not suitable, it will not receive PDCCH and eventually timer which UE has started upon initiation of SDT will be stopped. This delays UL transmission and increases UE power consumption. </w:t>
      </w:r>
      <w:r>
        <w:rPr>
          <w:rFonts w:eastAsia="DengXian"/>
          <w:bCs/>
        </w:rPr>
        <w:t>The</w:t>
      </w:r>
      <w:r w:rsidRPr="007E0887">
        <w:rPr>
          <w:rFonts w:eastAsia="DengXian"/>
          <w:bCs/>
        </w:rPr>
        <w:t xml:space="preserve"> SSB change </w:t>
      </w:r>
      <w:r>
        <w:rPr>
          <w:rFonts w:eastAsia="DengXian"/>
          <w:bCs/>
        </w:rPr>
        <w:t>can be handled as follows:</w:t>
      </w:r>
    </w:p>
    <w:p w:rsidR="007E0887" w:rsidRPr="007E0887" w:rsidRDefault="007E0887" w:rsidP="00FE6BD3">
      <w:pPr>
        <w:pStyle w:val="ListParagraph"/>
        <w:numPr>
          <w:ilvl w:val="0"/>
          <w:numId w:val="17"/>
        </w:numPr>
        <w:spacing w:line="276" w:lineRule="auto"/>
        <w:ind w:firstLineChars="0"/>
        <w:jc w:val="both"/>
        <w:rPr>
          <w:rFonts w:ascii="Times New Roman" w:eastAsia="DengXian" w:hAnsi="Times New Roman"/>
          <w:bCs/>
          <w:sz w:val="20"/>
          <w:szCs w:val="20"/>
        </w:rPr>
      </w:pPr>
      <w:r w:rsidRPr="007E0887">
        <w:rPr>
          <w:rFonts w:ascii="Times New Roman" w:eastAsia="DengXian" w:hAnsi="Times New Roman"/>
          <w:bCs/>
          <w:sz w:val="20"/>
          <w:szCs w:val="20"/>
        </w:rPr>
        <w:t>After the completion of RA procedure initiated for SDT and until the SDT procedure is completed/terminated, UE measures (e.g. periodically) the SS-RSRP of SSB selected during the RA procedure. If SS-RSRP is below a threshold (or below a threshold for ‘N’ consecutive measurements or below a threshold ‘N’ times within a time interval, time interval can be configured):</w:t>
      </w:r>
    </w:p>
    <w:p w:rsidR="007E0887" w:rsidRPr="007E0887" w:rsidRDefault="007E0887" w:rsidP="00FE6BD3">
      <w:pPr>
        <w:numPr>
          <w:ilvl w:val="1"/>
          <w:numId w:val="2"/>
        </w:numPr>
        <w:overflowPunct/>
        <w:autoSpaceDE/>
        <w:autoSpaceDN/>
        <w:spacing w:after="0" w:line="276" w:lineRule="auto"/>
        <w:ind w:left="1200"/>
        <w:rPr>
          <w:rFonts w:eastAsia="DengXian"/>
          <w:bCs/>
        </w:rPr>
      </w:pPr>
      <w:r w:rsidRPr="007E0887">
        <w:rPr>
          <w:rFonts w:eastAsia="DengXian"/>
          <w:bCs/>
        </w:rPr>
        <w:lastRenderedPageBreak/>
        <w:t xml:space="preserve">Option 1: </w:t>
      </w:r>
    </w:p>
    <w:p w:rsidR="007E0887" w:rsidRDefault="007E0887" w:rsidP="00FE6BD3">
      <w:pPr>
        <w:numPr>
          <w:ilvl w:val="2"/>
          <w:numId w:val="2"/>
        </w:numPr>
        <w:overflowPunct/>
        <w:autoSpaceDE/>
        <w:autoSpaceDN/>
        <w:spacing w:after="0" w:line="276" w:lineRule="auto"/>
        <w:ind w:left="1600"/>
        <w:jc w:val="both"/>
        <w:rPr>
          <w:rFonts w:eastAsia="DengXian"/>
          <w:bCs/>
        </w:rPr>
      </w:pPr>
      <w:r w:rsidRPr="007E0887">
        <w:rPr>
          <w:rFonts w:eastAsia="DengXian"/>
          <w:bCs/>
        </w:rPr>
        <w:t>UE initiates RA procedure. During the RA procedure UE transmits C-RNTI MAC CE in Msg3/MsgA. The C-RNTI included in MAC CE is the C-RNTI received during the last RA procedure i.e. RA procedure initiated for SDT</w:t>
      </w:r>
    </w:p>
    <w:p w:rsidR="00B86A48" w:rsidRPr="007E0887" w:rsidRDefault="00B86A48" w:rsidP="00FE6BD3">
      <w:pPr>
        <w:overflowPunct/>
        <w:autoSpaceDE/>
        <w:autoSpaceDN/>
        <w:spacing w:after="0" w:line="276" w:lineRule="auto"/>
        <w:ind w:left="1600"/>
        <w:jc w:val="both"/>
        <w:rPr>
          <w:rFonts w:eastAsia="DengXian"/>
          <w:bCs/>
        </w:rPr>
      </w:pPr>
    </w:p>
    <w:p w:rsidR="007E0887" w:rsidRPr="007E0887" w:rsidRDefault="007E0887" w:rsidP="00FE6BD3">
      <w:pPr>
        <w:numPr>
          <w:ilvl w:val="1"/>
          <w:numId w:val="2"/>
        </w:numPr>
        <w:overflowPunct/>
        <w:autoSpaceDE/>
        <w:autoSpaceDN/>
        <w:spacing w:after="0" w:line="276" w:lineRule="auto"/>
        <w:ind w:left="1200"/>
        <w:rPr>
          <w:rFonts w:eastAsia="DengXian"/>
          <w:bCs/>
        </w:rPr>
      </w:pPr>
      <w:r w:rsidRPr="007E0887">
        <w:rPr>
          <w:rFonts w:eastAsia="DengXian"/>
          <w:bCs/>
        </w:rPr>
        <w:t>Option 2:</w:t>
      </w:r>
    </w:p>
    <w:p w:rsidR="007E0887" w:rsidRDefault="007E0887" w:rsidP="00FE6BD3">
      <w:pPr>
        <w:numPr>
          <w:ilvl w:val="2"/>
          <w:numId w:val="2"/>
        </w:numPr>
        <w:overflowPunct/>
        <w:autoSpaceDE/>
        <w:autoSpaceDN/>
        <w:spacing w:after="0" w:line="276" w:lineRule="auto"/>
        <w:ind w:left="1600"/>
        <w:rPr>
          <w:rFonts w:eastAsia="DengXian"/>
          <w:bCs/>
        </w:rPr>
      </w:pPr>
      <w:r w:rsidRPr="007E0887">
        <w:rPr>
          <w:rFonts w:eastAsia="DengXian"/>
          <w:bCs/>
        </w:rPr>
        <w:t>UE terminates the ongoing SDT procedure</w:t>
      </w:r>
    </w:p>
    <w:p w:rsidR="00B86A48" w:rsidRDefault="00B86A48" w:rsidP="00FE6BD3">
      <w:pPr>
        <w:overflowPunct/>
        <w:autoSpaceDE/>
        <w:autoSpaceDN/>
        <w:spacing w:after="0" w:line="276" w:lineRule="auto"/>
        <w:rPr>
          <w:rFonts w:eastAsia="DengXian"/>
          <w:bCs/>
        </w:rPr>
      </w:pPr>
      <w:r>
        <w:rPr>
          <w:rFonts w:eastAsia="DengXian"/>
          <w:bCs/>
        </w:rPr>
        <w:t xml:space="preserve">In our view, option 1 is simple. Note that random access during SDT procedure anyways needs to be supported for scheduling request. </w:t>
      </w:r>
    </w:p>
    <w:p w:rsidR="00B86A48" w:rsidRDefault="00B86A48" w:rsidP="00B86A48">
      <w:pPr>
        <w:overflowPunct/>
        <w:autoSpaceDE/>
        <w:autoSpaceDN/>
        <w:spacing w:after="0" w:line="360" w:lineRule="auto"/>
        <w:rPr>
          <w:rFonts w:eastAsia="DengXian"/>
          <w:bCs/>
        </w:rPr>
      </w:pPr>
    </w:p>
    <w:p w:rsidR="00B86A48" w:rsidRPr="00B86A48" w:rsidRDefault="00B86A48" w:rsidP="00FE6BD3">
      <w:pPr>
        <w:overflowPunct/>
        <w:autoSpaceDE/>
        <w:autoSpaceDN/>
        <w:spacing w:after="0" w:line="276" w:lineRule="auto"/>
        <w:ind w:left="1080" w:hangingChars="550" w:hanging="1080"/>
        <w:rPr>
          <w:rFonts w:eastAsia="DengXian"/>
          <w:b/>
        </w:rPr>
      </w:pPr>
      <w:r w:rsidRPr="00B86A48">
        <w:rPr>
          <w:rFonts w:hint="eastAsia"/>
          <w:b/>
        </w:rPr>
        <w:t xml:space="preserve">Proposal </w:t>
      </w:r>
      <w:r w:rsidR="007E0D9F">
        <w:rPr>
          <w:b/>
        </w:rPr>
        <w:t>4</w:t>
      </w:r>
      <w:r w:rsidRPr="00B86A48">
        <w:rPr>
          <w:b/>
        </w:rPr>
        <w:t xml:space="preserve">: </w:t>
      </w:r>
      <w:r w:rsidRPr="00B86A48">
        <w:rPr>
          <w:rFonts w:eastAsia="DengXian"/>
          <w:b/>
        </w:rPr>
        <w:t xml:space="preserve">After the completion of RA procedure initiated for SDT and until the SDT procedure is completed/terminated, UE measures (e.g. periodically) the SS-RSRP of SSB selected during the RA procedure. If SS-RSRP is below a threshold:  </w:t>
      </w:r>
    </w:p>
    <w:p w:rsidR="00B86A48" w:rsidRPr="00B86A48" w:rsidRDefault="00B86A48" w:rsidP="00FE6BD3">
      <w:pPr>
        <w:numPr>
          <w:ilvl w:val="2"/>
          <w:numId w:val="2"/>
        </w:numPr>
        <w:overflowPunct/>
        <w:autoSpaceDE/>
        <w:autoSpaceDN/>
        <w:spacing w:after="0" w:line="276" w:lineRule="auto"/>
        <w:ind w:left="1600"/>
        <w:jc w:val="both"/>
        <w:rPr>
          <w:rFonts w:eastAsia="DengXian"/>
          <w:b/>
        </w:rPr>
      </w:pPr>
      <w:r w:rsidRPr="00B86A48">
        <w:rPr>
          <w:rFonts w:eastAsia="DengXian"/>
          <w:b/>
        </w:rPr>
        <w:t>UE initiates RA procedure. During the RA procedure UE transmits C-RNTI MAC CE in Msg3/MsgA. The C-RNTI included in MAC CE is the C-RNTI received during the RA procedure initiated for SDT</w:t>
      </w:r>
    </w:p>
    <w:p w:rsidR="0031552F" w:rsidRPr="00F676D2" w:rsidRDefault="00DC0E27" w:rsidP="0031552F">
      <w:pPr>
        <w:pStyle w:val="Heading1"/>
      </w:pPr>
      <w:r>
        <w:t>Concl</w:t>
      </w:r>
      <w:r w:rsidR="0031552F" w:rsidRPr="00F676D2">
        <w:t>usion</w:t>
      </w:r>
    </w:p>
    <w:p w:rsidR="0031552F" w:rsidRDefault="0031552F" w:rsidP="0031552F">
      <w:r w:rsidRPr="004B33DE">
        <w:t>Based on the above, RAN2 is requested to discuss and agree on the following proposals:</w:t>
      </w:r>
    </w:p>
    <w:p w:rsidR="005D006E" w:rsidRPr="00BE60FF" w:rsidRDefault="007E0D9F" w:rsidP="005D006E">
      <w:pPr>
        <w:pStyle w:val="CRCoverPage"/>
        <w:ind w:left="1200" w:hangingChars="600" w:hanging="1200"/>
        <w:jc w:val="both"/>
        <w:rPr>
          <w:rFonts w:ascii="Times New Roman" w:hAnsi="Times New Roman"/>
          <w:b/>
        </w:rPr>
      </w:pPr>
      <w:r>
        <w:rPr>
          <w:rFonts w:ascii="Times New Roman" w:hAnsi="Times New Roman"/>
          <w:b/>
        </w:rPr>
        <w:t>Proposal 1</w:t>
      </w:r>
      <w:r w:rsidR="005D006E">
        <w:rPr>
          <w:rFonts w:ascii="Times New Roman" w:hAnsi="Times New Roman"/>
          <w:b/>
        </w:rPr>
        <w:t xml:space="preserve">: </w:t>
      </w:r>
      <w:r w:rsidR="005D006E" w:rsidRPr="00BE60FF">
        <w:rPr>
          <w:rFonts w:ascii="Times New Roman" w:hAnsi="Times New Roman"/>
          <w:b/>
        </w:rPr>
        <w:t xml:space="preserve">powerRampingStepHighPrioritySDT and scalingFactorBISDT are signaled in RACH configuration for SDT. </w:t>
      </w:r>
    </w:p>
    <w:p w:rsidR="005D006E" w:rsidRPr="00D0669F" w:rsidRDefault="005D006E" w:rsidP="005D006E">
      <w:pPr>
        <w:pStyle w:val="CRCoverPage"/>
        <w:numPr>
          <w:ilvl w:val="3"/>
          <w:numId w:val="2"/>
        </w:numPr>
        <w:jc w:val="both"/>
        <w:rPr>
          <w:rFonts w:ascii="Times New Roman" w:hAnsi="Times New Roman"/>
          <w:b/>
          <w:lang w:val="en-US"/>
        </w:rPr>
      </w:pPr>
      <w:r w:rsidRPr="00BE60FF">
        <w:rPr>
          <w:rFonts w:ascii="Times New Roman" w:hAnsi="Times New Roman"/>
          <w:b/>
        </w:rPr>
        <w:t>These parameters are separately signaled for 2 step RACH configuration for SDT and 4 step RACH configuration for SDT</w:t>
      </w:r>
      <w:r w:rsidRPr="00BE60FF">
        <w:rPr>
          <w:rFonts w:ascii="Times New Roman" w:hAnsi="Times New Roman" w:hint="eastAsia"/>
          <w:b/>
          <w:lang w:val="en-US"/>
        </w:rPr>
        <w:t xml:space="preserve">. </w:t>
      </w:r>
      <w:r w:rsidRPr="00BE60FF">
        <w:rPr>
          <w:rFonts w:ascii="Times New Roman" w:hAnsi="Times New Roman"/>
          <w:b/>
        </w:rPr>
        <w:t>UE applies these parameters when RACH is initiated for SDT</w:t>
      </w:r>
    </w:p>
    <w:p w:rsidR="005D006E" w:rsidRDefault="007E0D9F" w:rsidP="005D006E">
      <w:pPr>
        <w:pStyle w:val="Doc-text2"/>
        <w:tabs>
          <w:tab w:val="clear" w:pos="1622"/>
          <w:tab w:val="left" w:pos="526"/>
        </w:tabs>
        <w:ind w:left="0" w:firstLine="0"/>
        <w:jc w:val="both"/>
        <w:rPr>
          <w:rFonts w:ascii="Times New Roman" w:hAnsi="Times New Roman"/>
          <w:b/>
          <w:lang w:val="en-US"/>
        </w:rPr>
      </w:pPr>
      <w:r>
        <w:rPr>
          <w:rFonts w:ascii="Times New Roman" w:hAnsi="Times New Roman"/>
          <w:b/>
          <w:lang w:val="en-US"/>
        </w:rPr>
        <w:t>Proposal 2</w:t>
      </w:r>
      <w:r w:rsidR="005D006E" w:rsidRPr="002A2D9A">
        <w:rPr>
          <w:rFonts w:ascii="Times New Roman" w:hAnsi="Times New Roman"/>
          <w:b/>
          <w:lang w:val="en-US"/>
        </w:rPr>
        <w:t>: Network can send indication in RAR/fallbackRAR/DCI to switch to non-SDT procedure</w:t>
      </w:r>
    </w:p>
    <w:p w:rsidR="005D006E" w:rsidRPr="007E0D9F" w:rsidRDefault="005D006E" w:rsidP="005D006E">
      <w:pPr>
        <w:pStyle w:val="Doc-text2"/>
        <w:tabs>
          <w:tab w:val="clear" w:pos="1622"/>
          <w:tab w:val="left" w:pos="526"/>
        </w:tabs>
        <w:ind w:left="0" w:firstLine="0"/>
        <w:jc w:val="both"/>
        <w:rPr>
          <w:rFonts w:ascii="Times New Roman" w:hAnsi="Times New Roman"/>
          <w:b/>
          <w:lang w:val="en-US"/>
        </w:rPr>
      </w:pPr>
    </w:p>
    <w:p w:rsidR="005D006E" w:rsidRPr="00DC0E27" w:rsidRDefault="005D006E" w:rsidP="00FE6BD3">
      <w:pPr>
        <w:pStyle w:val="Doc-text2"/>
        <w:tabs>
          <w:tab w:val="clear" w:pos="1622"/>
          <w:tab w:val="left" w:pos="526"/>
        </w:tabs>
        <w:spacing w:line="276" w:lineRule="auto"/>
        <w:ind w:left="1000" w:hangingChars="500" w:hanging="1000"/>
        <w:jc w:val="both"/>
        <w:rPr>
          <w:rFonts w:ascii="Times New Roman" w:hAnsi="Times New Roman"/>
          <w:b/>
          <w:lang w:val="en-US"/>
        </w:rPr>
      </w:pPr>
      <w:bookmarkStart w:id="0" w:name="_GoBack"/>
      <w:r w:rsidRPr="00DC0E27">
        <w:rPr>
          <w:rFonts w:ascii="Times New Roman" w:hAnsi="Times New Roman" w:hint="eastAsia"/>
          <w:b/>
          <w:lang w:val="en-US"/>
        </w:rPr>
        <w:t xml:space="preserve">Proposal </w:t>
      </w:r>
      <w:r w:rsidR="007E0D9F">
        <w:rPr>
          <w:rFonts w:ascii="Times New Roman" w:hAnsi="Times New Roman"/>
          <w:b/>
          <w:lang w:val="en-US"/>
        </w:rPr>
        <w:t>3</w:t>
      </w:r>
      <w:r w:rsidRPr="00DC0E27">
        <w:rPr>
          <w:rFonts w:ascii="Times New Roman" w:hAnsi="Times New Roman"/>
          <w:b/>
          <w:lang w:val="en-US"/>
        </w:rPr>
        <w:t>: RAN2 to discuss and agree on one of the following options for handling TAT expiry during the SDT procedure.</w:t>
      </w:r>
    </w:p>
    <w:p w:rsidR="005D006E" w:rsidRPr="00DC0E27" w:rsidRDefault="005D006E" w:rsidP="00FE6BD3">
      <w:pPr>
        <w:pStyle w:val="Doc-text2"/>
        <w:tabs>
          <w:tab w:val="clear" w:pos="1622"/>
          <w:tab w:val="left" w:pos="526"/>
        </w:tabs>
        <w:spacing w:line="276" w:lineRule="auto"/>
        <w:ind w:left="0" w:firstLine="0"/>
        <w:jc w:val="both"/>
        <w:rPr>
          <w:rFonts w:ascii="Times New Roman" w:hAnsi="Times New Roman"/>
          <w:b/>
          <w:lang w:val="en-US"/>
        </w:rPr>
      </w:pPr>
    </w:p>
    <w:p w:rsidR="005D006E" w:rsidRPr="00DC0E27" w:rsidRDefault="005D006E" w:rsidP="00FE6BD3">
      <w:pPr>
        <w:pStyle w:val="B1"/>
        <w:numPr>
          <w:ilvl w:val="4"/>
          <w:numId w:val="15"/>
        </w:numPr>
        <w:spacing w:line="276" w:lineRule="auto"/>
        <w:jc w:val="both"/>
        <w:rPr>
          <w:b/>
        </w:rPr>
      </w:pPr>
      <w:r w:rsidRPr="00DC0E27">
        <w:rPr>
          <w:b/>
        </w:rPr>
        <w:t xml:space="preserve">Option 1: </w:t>
      </w:r>
      <w:r w:rsidRPr="00DC0E27">
        <w:rPr>
          <w:rFonts w:hint="eastAsia"/>
          <w:b/>
        </w:rPr>
        <w:t>UE terminates the ongoing SDT procedure</w:t>
      </w:r>
    </w:p>
    <w:p w:rsidR="005D006E" w:rsidRPr="00DC0E27" w:rsidRDefault="005D006E" w:rsidP="00FE6BD3">
      <w:pPr>
        <w:pStyle w:val="B1"/>
        <w:numPr>
          <w:ilvl w:val="4"/>
          <w:numId w:val="15"/>
        </w:numPr>
        <w:spacing w:line="276" w:lineRule="auto"/>
        <w:jc w:val="both"/>
        <w:rPr>
          <w:b/>
        </w:rPr>
      </w:pPr>
      <w:r w:rsidRPr="00DC0E27">
        <w:rPr>
          <w:b/>
        </w:rPr>
        <w:t xml:space="preserve">Option 2: </w:t>
      </w:r>
      <w:r w:rsidRPr="00DC0E27">
        <w:rPr>
          <w:rFonts w:hint="eastAsia"/>
          <w:b/>
        </w:rPr>
        <w:t xml:space="preserve">UE </w:t>
      </w:r>
      <w:r w:rsidRPr="00DC0E27">
        <w:rPr>
          <w:b/>
        </w:rPr>
        <w:t xml:space="preserve">does not </w:t>
      </w:r>
      <w:r w:rsidRPr="00DC0E27">
        <w:rPr>
          <w:rFonts w:hint="eastAsia"/>
          <w:b/>
        </w:rPr>
        <w:t>terminates the ongoing SDT procedure</w:t>
      </w:r>
      <w:r w:rsidRPr="00DC0E27">
        <w:rPr>
          <w:b/>
        </w:rPr>
        <w:t xml:space="preserve">. UE suspends the UL transmission (except </w:t>
      </w:r>
      <w:r w:rsidRPr="00DC0E27">
        <w:rPr>
          <w:b/>
          <w:noProof/>
          <w:lang w:eastAsia="zh-CN"/>
        </w:rPr>
        <w:t>Random Access Preamble and MSGA transmission</w:t>
      </w:r>
      <w:r w:rsidRPr="00DC0E27">
        <w:rPr>
          <w:b/>
        </w:rPr>
        <w:t xml:space="preserve">). UE waits for PDCCH order from gNB. Upon receiving PDCCH order, UE initiates the RACH and TAT timer will get re-started. </w:t>
      </w:r>
    </w:p>
    <w:p w:rsidR="005D006E" w:rsidRDefault="005D006E" w:rsidP="00FE6BD3">
      <w:pPr>
        <w:pStyle w:val="B1"/>
        <w:numPr>
          <w:ilvl w:val="4"/>
          <w:numId w:val="15"/>
        </w:numPr>
        <w:spacing w:line="276" w:lineRule="auto"/>
        <w:jc w:val="both"/>
        <w:rPr>
          <w:b/>
        </w:rPr>
      </w:pPr>
      <w:r w:rsidRPr="00DC0E27">
        <w:rPr>
          <w:b/>
        </w:rPr>
        <w:t xml:space="preserve">Option 3: </w:t>
      </w:r>
      <w:r w:rsidRPr="00DC0E27">
        <w:rPr>
          <w:rFonts w:hint="eastAsia"/>
          <w:b/>
        </w:rPr>
        <w:t xml:space="preserve">UE </w:t>
      </w:r>
      <w:r w:rsidRPr="00DC0E27">
        <w:rPr>
          <w:b/>
        </w:rPr>
        <w:t xml:space="preserve">does not </w:t>
      </w:r>
      <w:r w:rsidRPr="00DC0E27">
        <w:rPr>
          <w:rFonts w:hint="eastAsia"/>
          <w:b/>
        </w:rPr>
        <w:t>terminates the ongoing SDT procedure</w:t>
      </w:r>
      <w:r w:rsidRPr="00DC0E27">
        <w:rPr>
          <w:b/>
        </w:rPr>
        <w:t xml:space="preserve">. UE suspends the UL transmission (except </w:t>
      </w:r>
      <w:r w:rsidRPr="00DC0E27">
        <w:rPr>
          <w:b/>
          <w:noProof/>
          <w:lang w:eastAsia="zh-CN"/>
        </w:rPr>
        <w:t>Random Access Preamble and MSGA transmission</w:t>
      </w:r>
      <w:r w:rsidRPr="00DC0E27">
        <w:rPr>
          <w:b/>
        </w:rPr>
        <w:t>). UE initiates RACH.</w:t>
      </w:r>
    </w:p>
    <w:bookmarkEnd w:id="0"/>
    <w:p w:rsidR="00B86A48" w:rsidRPr="00B86A48" w:rsidRDefault="00B86A48" w:rsidP="00FE6BD3">
      <w:pPr>
        <w:overflowPunct/>
        <w:autoSpaceDE/>
        <w:autoSpaceDN/>
        <w:spacing w:after="0" w:line="276" w:lineRule="auto"/>
        <w:ind w:left="1080" w:hangingChars="550" w:hanging="1080"/>
        <w:rPr>
          <w:rFonts w:eastAsia="DengXian"/>
          <w:b/>
        </w:rPr>
      </w:pPr>
      <w:r w:rsidRPr="00B86A48">
        <w:rPr>
          <w:rFonts w:hint="eastAsia"/>
          <w:b/>
        </w:rPr>
        <w:t xml:space="preserve">Proposal </w:t>
      </w:r>
      <w:r w:rsidR="007E0D9F">
        <w:rPr>
          <w:b/>
        </w:rPr>
        <w:t>4</w:t>
      </w:r>
      <w:r w:rsidRPr="00B86A48">
        <w:rPr>
          <w:b/>
        </w:rPr>
        <w:t xml:space="preserve">: </w:t>
      </w:r>
      <w:r w:rsidRPr="00B86A48">
        <w:rPr>
          <w:rFonts w:eastAsia="DengXian"/>
          <w:b/>
        </w:rPr>
        <w:t xml:space="preserve">After the completion of RA procedure initiated for SDT and until the SDT procedure is completed/terminated, UE measures (e.g. periodically) the SS-RSRP of SSB selected during the RA procedure. If SS-RSRP is below a threshold:  </w:t>
      </w:r>
    </w:p>
    <w:p w:rsidR="00B86A48" w:rsidRPr="00B86A48" w:rsidRDefault="00B86A48" w:rsidP="00FE6BD3">
      <w:pPr>
        <w:numPr>
          <w:ilvl w:val="4"/>
          <w:numId w:val="15"/>
        </w:numPr>
        <w:overflowPunct/>
        <w:autoSpaceDE/>
        <w:autoSpaceDN/>
        <w:spacing w:after="0" w:line="276" w:lineRule="auto"/>
        <w:jc w:val="both"/>
        <w:rPr>
          <w:rFonts w:eastAsia="DengXian"/>
          <w:b/>
        </w:rPr>
      </w:pPr>
      <w:r w:rsidRPr="00B86A48">
        <w:rPr>
          <w:rFonts w:eastAsia="DengXian"/>
          <w:b/>
        </w:rPr>
        <w:t>UE initiates RA procedure. During the RA procedure UE transmits C-RNTI MAC CE in Msg3/MsgA. The C-RNTI included in MAC CE is the C-RNTI received during the RA procedure initiated for SDT</w:t>
      </w:r>
    </w:p>
    <w:p w:rsidR="0031552F" w:rsidRPr="00446ECE" w:rsidRDefault="0031552F" w:rsidP="0031552F">
      <w:pPr>
        <w:pStyle w:val="Heading1"/>
      </w:pPr>
      <w:r>
        <w:t>References</w:t>
      </w:r>
    </w:p>
    <w:p w:rsidR="00D93221" w:rsidRPr="0031552F" w:rsidRDefault="00766CB1" w:rsidP="0031552F">
      <w:pPr>
        <w:spacing w:after="0"/>
        <w:ind w:left="1985" w:hanging="1985"/>
        <w:rPr>
          <w:rFonts w:eastAsia="Yu Mincho"/>
        </w:rPr>
      </w:pPr>
      <w:r>
        <w:t xml:space="preserve">[1] </w:t>
      </w:r>
      <w:r w:rsidRPr="00766CB1">
        <w:rPr>
          <w:rFonts w:eastAsia="바탕"/>
          <w:lang w:eastAsia="zh-CN"/>
        </w:rPr>
        <w:t xml:space="preserve">RAN2-112-e_NR-U_PowSav_2sRA -Rel-17 </w:t>
      </w:r>
      <w:proofErr w:type="spellStart"/>
      <w:r w:rsidRPr="00766CB1">
        <w:rPr>
          <w:rFonts w:eastAsia="바탕"/>
          <w:lang w:eastAsia="zh-CN"/>
        </w:rPr>
        <w:t>Sdata_IIoT</w:t>
      </w:r>
      <w:proofErr w:type="spellEnd"/>
      <w:r w:rsidRPr="00766CB1">
        <w:rPr>
          <w:rFonts w:eastAsia="바탕"/>
          <w:lang w:eastAsia="zh-CN"/>
        </w:rPr>
        <w:t xml:space="preserve"> Notes (Diana)_</w:t>
      </w:r>
      <w:proofErr w:type="spellStart"/>
      <w:r w:rsidRPr="00766CB1">
        <w:rPr>
          <w:rFonts w:eastAsia="바탕"/>
          <w:lang w:eastAsia="zh-CN"/>
        </w:rPr>
        <w:t>eom</w:t>
      </w:r>
      <w:proofErr w:type="spellEnd"/>
    </w:p>
    <w:sectPr w:rsidR="00D93221" w:rsidRPr="0031552F" w:rsidSect="009F5798">
      <w:pgSz w:w="11907" w:h="16839" w:code="9"/>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Mangal">
    <w:panose1 w:val="00000400000000000000"/>
    <w:charset w:val="01"/>
    <w:family w:val="roman"/>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3CD064B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262"/>
        </w:tabs>
        <w:ind w:left="4262" w:hanging="576"/>
      </w:pPr>
      <w:rPr>
        <w:rFonts w:hint="default"/>
      </w:rPr>
    </w:lvl>
    <w:lvl w:ilvl="2">
      <w:start w:val="1"/>
      <w:numFmt w:val="decimal"/>
      <w:pStyle w:val="Heading3"/>
      <w:lvlText w:val="%1.%2.%3"/>
      <w:lvlJc w:val="left"/>
      <w:pPr>
        <w:tabs>
          <w:tab w:val="num" w:pos="720"/>
        </w:tabs>
        <w:ind w:left="720" w:hanging="720"/>
      </w:pPr>
      <w:rPr>
        <w:rFonts w:hint="default"/>
        <w:sz w:val="24"/>
      </w:rPr>
    </w:lvl>
    <w:lvl w:ilvl="3">
      <w:start w:val="1"/>
      <w:numFmt w:val="decimal"/>
      <w:pStyle w:val="Heading4"/>
      <w:lvlText w:val="%1.%2.%3.%4"/>
      <w:lvlJc w:val="left"/>
      <w:pPr>
        <w:tabs>
          <w:tab w:val="num" w:pos="864"/>
        </w:tabs>
        <w:ind w:left="864" w:hanging="864"/>
      </w:pPr>
      <w:rPr>
        <w:rFonts w:hint="default"/>
        <w:b w:val="0"/>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DDF55B6"/>
    <w:multiLevelType w:val="hybridMultilevel"/>
    <w:tmpl w:val="FB2A2044"/>
    <w:lvl w:ilvl="0" w:tplc="ED0A5796">
      <w:start w:val="22395"/>
      <w:numFmt w:val="bullet"/>
      <w:lvlText w:val="–"/>
      <w:lvlJc w:val="left"/>
      <w:pPr>
        <w:tabs>
          <w:tab w:val="num" w:pos="360"/>
        </w:tabs>
        <w:ind w:left="360" w:hanging="360"/>
      </w:pPr>
      <w:rPr>
        <w:rFonts w:ascii="Arial" w:hAnsi="Arial" w:hint="default"/>
      </w:rPr>
    </w:lvl>
    <w:lvl w:ilvl="1" w:tplc="04090003">
      <w:start w:val="1"/>
      <w:numFmt w:val="bullet"/>
      <w:lvlText w:val=""/>
      <w:lvlJc w:val="left"/>
      <w:pPr>
        <w:ind w:left="120" w:hanging="400"/>
      </w:pPr>
      <w:rPr>
        <w:rFonts w:ascii="Wingdings" w:hAnsi="Wingdings" w:hint="default"/>
      </w:rPr>
    </w:lvl>
    <w:lvl w:ilvl="2" w:tplc="04090005">
      <w:start w:val="1"/>
      <w:numFmt w:val="bullet"/>
      <w:lvlText w:val=""/>
      <w:lvlJc w:val="left"/>
      <w:pPr>
        <w:ind w:left="520" w:hanging="400"/>
      </w:pPr>
      <w:rPr>
        <w:rFonts w:ascii="Wingdings" w:hAnsi="Wingdings" w:hint="default"/>
      </w:rPr>
    </w:lvl>
    <w:lvl w:ilvl="3" w:tplc="04090001">
      <w:start w:val="1"/>
      <w:numFmt w:val="bullet"/>
      <w:lvlText w:val=""/>
      <w:lvlJc w:val="left"/>
      <w:pPr>
        <w:ind w:left="920" w:hanging="400"/>
      </w:pPr>
      <w:rPr>
        <w:rFonts w:ascii="Wingdings" w:hAnsi="Wingdings" w:hint="default"/>
      </w:rPr>
    </w:lvl>
    <w:lvl w:ilvl="4" w:tplc="04090003">
      <w:start w:val="1"/>
      <w:numFmt w:val="bullet"/>
      <w:lvlText w:val=""/>
      <w:lvlJc w:val="left"/>
      <w:pPr>
        <w:ind w:left="1320" w:hanging="400"/>
      </w:pPr>
      <w:rPr>
        <w:rFonts w:ascii="Wingdings" w:hAnsi="Wingdings" w:hint="default"/>
      </w:rPr>
    </w:lvl>
    <w:lvl w:ilvl="5" w:tplc="04090005" w:tentative="1">
      <w:start w:val="1"/>
      <w:numFmt w:val="bullet"/>
      <w:lvlText w:val=""/>
      <w:lvlJc w:val="left"/>
      <w:pPr>
        <w:ind w:left="1720" w:hanging="400"/>
      </w:pPr>
      <w:rPr>
        <w:rFonts w:ascii="Wingdings" w:hAnsi="Wingdings" w:hint="default"/>
      </w:rPr>
    </w:lvl>
    <w:lvl w:ilvl="6" w:tplc="04090001" w:tentative="1">
      <w:start w:val="1"/>
      <w:numFmt w:val="bullet"/>
      <w:lvlText w:val=""/>
      <w:lvlJc w:val="left"/>
      <w:pPr>
        <w:ind w:left="2120" w:hanging="400"/>
      </w:pPr>
      <w:rPr>
        <w:rFonts w:ascii="Wingdings" w:hAnsi="Wingdings" w:hint="default"/>
      </w:rPr>
    </w:lvl>
    <w:lvl w:ilvl="7" w:tplc="04090003" w:tentative="1">
      <w:start w:val="1"/>
      <w:numFmt w:val="bullet"/>
      <w:lvlText w:val=""/>
      <w:lvlJc w:val="left"/>
      <w:pPr>
        <w:ind w:left="2520" w:hanging="400"/>
      </w:pPr>
      <w:rPr>
        <w:rFonts w:ascii="Wingdings" w:hAnsi="Wingdings" w:hint="default"/>
      </w:rPr>
    </w:lvl>
    <w:lvl w:ilvl="8" w:tplc="04090005" w:tentative="1">
      <w:start w:val="1"/>
      <w:numFmt w:val="bullet"/>
      <w:lvlText w:val=""/>
      <w:lvlJc w:val="left"/>
      <w:pPr>
        <w:ind w:left="2920" w:hanging="400"/>
      </w:pPr>
      <w:rPr>
        <w:rFonts w:ascii="Wingdings" w:hAnsi="Wingdings" w:hint="default"/>
      </w:rPr>
    </w:lvl>
  </w:abstractNum>
  <w:abstractNum w:abstractNumId="2" w15:restartNumberingAfterBreak="0">
    <w:nsid w:val="15EC2595"/>
    <w:multiLevelType w:val="hybridMultilevel"/>
    <w:tmpl w:val="F7F8667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8C90518"/>
    <w:multiLevelType w:val="hybridMultilevel"/>
    <w:tmpl w:val="5714F85C"/>
    <w:lvl w:ilvl="0" w:tplc="ED0A5796">
      <w:start w:val="22395"/>
      <w:numFmt w:val="bullet"/>
      <w:lvlText w:val="–"/>
      <w:lvlJc w:val="left"/>
      <w:pPr>
        <w:tabs>
          <w:tab w:val="num" w:pos="360"/>
        </w:tabs>
        <w:ind w:left="360" w:hanging="360"/>
      </w:pPr>
      <w:rPr>
        <w:rFonts w:ascii="Arial" w:hAnsi="Arial" w:hint="default"/>
      </w:rPr>
    </w:lvl>
    <w:lvl w:ilvl="1" w:tplc="04090003">
      <w:start w:val="1"/>
      <w:numFmt w:val="bullet"/>
      <w:lvlText w:val=""/>
      <w:lvlJc w:val="left"/>
      <w:pPr>
        <w:ind w:left="120" w:hanging="400"/>
      </w:pPr>
      <w:rPr>
        <w:rFonts w:ascii="Wingdings" w:hAnsi="Wingdings" w:hint="default"/>
      </w:rPr>
    </w:lvl>
    <w:lvl w:ilvl="2" w:tplc="04090005">
      <w:start w:val="1"/>
      <w:numFmt w:val="bullet"/>
      <w:lvlText w:val=""/>
      <w:lvlJc w:val="left"/>
      <w:pPr>
        <w:ind w:left="520" w:hanging="400"/>
      </w:pPr>
      <w:rPr>
        <w:rFonts w:ascii="Wingdings" w:hAnsi="Wingdings" w:hint="default"/>
      </w:rPr>
    </w:lvl>
    <w:lvl w:ilvl="3" w:tplc="04090001">
      <w:start w:val="1"/>
      <w:numFmt w:val="bullet"/>
      <w:lvlText w:val=""/>
      <w:lvlJc w:val="left"/>
      <w:pPr>
        <w:ind w:left="920" w:hanging="400"/>
      </w:pPr>
      <w:rPr>
        <w:rFonts w:ascii="Wingdings" w:hAnsi="Wingdings" w:hint="default"/>
      </w:rPr>
    </w:lvl>
    <w:lvl w:ilvl="4" w:tplc="BC10308C">
      <w:start w:val="1"/>
      <w:numFmt w:val="bullet"/>
      <w:lvlText w:val="-"/>
      <w:lvlJc w:val="left"/>
      <w:pPr>
        <w:ind w:left="1320" w:hanging="400"/>
      </w:pPr>
      <w:rPr>
        <w:rFonts w:ascii="Times New Roman" w:eastAsia="Times New Roman" w:hAnsi="Times New Roman" w:cs="Times New Roman" w:hint="default"/>
      </w:rPr>
    </w:lvl>
    <w:lvl w:ilvl="5" w:tplc="04090005" w:tentative="1">
      <w:start w:val="1"/>
      <w:numFmt w:val="bullet"/>
      <w:lvlText w:val=""/>
      <w:lvlJc w:val="left"/>
      <w:pPr>
        <w:ind w:left="1720" w:hanging="400"/>
      </w:pPr>
      <w:rPr>
        <w:rFonts w:ascii="Wingdings" w:hAnsi="Wingdings" w:hint="default"/>
      </w:rPr>
    </w:lvl>
    <w:lvl w:ilvl="6" w:tplc="04090001" w:tentative="1">
      <w:start w:val="1"/>
      <w:numFmt w:val="bullet"/>
      <w:lvlText w:val=""/>
      <w:lvlJc w:val="left"/>
      <w:pPr>
        <w:ind w:left="2120" w:hanging="400"/>
      </w:pPr>
      <w:rPr>
        <w:rFonts w:ascii="Wingdings" w:hAnsi="Wingdings" w:hint="default"/>
      </w:rPr>
    </w:lvl>
    <w:lvl w:ilvl="7" w:tplc="04090003" w:tentative="1">
      <w:start w:val="1"/>
      <w:numFmt w:val="bullet"/>
      <w:lvlText w:val=""/>
      <w:lvlJc w:val="left"/>
      <w:pPr>
        <w:ind w:left="2520" w:hanging="400"/>
      </w:pPr>
      <w:rPr>
        <w:rFonts w:ascii="Wingdings" w:hAnsi="Wingdings" w:hint="default"/>
      </w:rPr>
    </w:lvl>
    <w:lvl w:ilvl="8" w:tplc="04090005" w:tentative="1">
      <w:start w:val="1"/>
      <w:numFmt w:val="bullet"/>
      <w:lvlText w:val=""/>
      <w:lvlJc w:val="left"/>
      <w:pPr>
        <w:ind w:left="2920" w:hanging="400"/>
      </w:pPr>
      <w:rPr>
        <w:rFonts w:ascii="Wingdings" w:hAnsi="Wingdings" w:hint="default"/>
      </w:rPr>
    </w:lvl>
  </w:abstractNum>
  <w:abstractNum w:abstractNumId="4" w15:restartNumberingAfterBreak="0">
    <w:nsid w:val="1A317FEA"/>
    <w:multiLevelType w:val="hybridMultilevel"/>
    <w:tmpl w:val="146EFEBA"/>
    <w:lvl w:ilvl="0" w:tplc="E4DED6BE">
      <w:start w:val="1"/>
      <w:numFmt w:val="bullet"/>
      <w:lvlText w:val="•"/>
      <w:lvlJc w:val="left"/>
      <w:pPr>
        <w:tabs>
          <w:tab w:val="num" w:pos="720"/>
        </w:tabs>
        <w:ind w:left="720" w:hanging="360"/>
      </w:pPr>
      <w:rPr>
        <w:rFonts w:ascii="Arial" w:hAnsi="Arial" w:hint="default"/>
      </w:rPr>
    </w:lvl>
    <w:lvl w:ilvl="1" w:tplc="AE58D542">
      <w:numFmt w:val="none"/>
      <w:lvlText w:val=""/>
      <w:lvlJc w:val="left"/>
      <w:pPr>
        <w:tabs>
          <w:tab w:val="num" w:pos="360"/>
        </w:tabs>
      </w:pPr>
    </w:lvl>
    <w:lvl w:ilvl="2" w:tplc="D87EEDE6" w:tentative="1">
      <w:start w:val="1"/>
      <w:numFmt w:val="bullet"/>
      <w:lvlText w:val="•"/>
      <w:lvlJc w:val="left"/>
      <w:pPr>
        <w:tabs>
          <w:tab w:val="num" w:pos="2160"/>
        </w:tabs>
        <w:ind w:left="2160" w:hanging="360"/>
      </w:pPr>
      <w:rPr>
        <w:rFonts w:ascii="Arial" w:hAnsi="Arial" w:hint="default"/>
      </w:rPr>
    </w:lvl>
    <w:lvl w:ilvl="3" w:tplc="31CE0FE6" w:tentative="1">
      <w:start w:val="1"/>
      <w:numFmt w:val="bullet"/>
      <w:lvlText w:val="•"/>
      <w:lvlJc w:val="left"/>
      <w:pPr>
        <w:tabs>
          <w:tab w:val="num" w:pos="2880"/>
        </w:tabs>
        <w:ind w:left="2880" w:hanging="360"/>
      </w:pPr>
      <w:rPr>
        <w:rFonts w:ascii="Arial" w:hAnsi="Arial" w:hint="default"/>
      </w:rPr>
    </w:lvl>
    <w:lvl w:ilvl="4" w:tplc="5E4ABB8C" w:tentative="1">
      <w:start w:val="1"/>
      <w:numFmt w:val="bullet"/>
      <w:lvlText w:val="•"/>
      <w:lvlJc w:val="left"/>
      <w:pPr>
        <w:tabs>
          <w:tab w:val="num" w:pos="3600"/>
        </w:tabs>
        <w:ind w:left="3600" w:hanging="360"/>
      </w:pPr>
      <w:rPr>
        <w:rFonts w:ascii="Arial" w:hAnsi="Arial" w:hint="default"/>
      </w:rPr>
    </w:lvl>
    <w:lvl w:ilvl="5" w:tplc="6B04186A" w:tentative="1">
      <w:start w:val="1"/>
      <w:numFmt w:val="bullet"/>
      <w:lvlText w:val="•"/>
      <w:lvlJc w:val="left"/>
      <w:pPr>
        <w:tabs>
          <w:tab w:val="num" w:pos="4320"/>
        </w:tabs>
        <w:ind w:left="4320" w:hanging="360"/>
      </w:pPr>
      <w:rPr>
        <w:rFonts w:ascii="Arial" w:hAnsi="Arial" w:hint="default"/>
      </w:rPr>
    </w:lvl>
    <w:lvl w:ilvl="6" w:tplc="07CEBD70" w:tentative="1">
      <w:start w:val="1"/>
      <w:numFmt w:val="bullet"/>
      <w:lvlText w:val="•"/>
      <w:lvlJc w:val="left"/>
      <w:pPr>
        <w:tabs>
          <w:tab w:val="num" w:pos="5040"/>
        </w:tabs>
        <w:ind w:left="5040" w:hanging="360"/>
      </w:pPr>
      <w:rPr>
        <w:rFonts w:ascii="Arial" w:hAnsi="Arial" w:hint="default"/>
      </w:rPr>
    </w:lvl>
    <w:lvl w:ilvl="7" w:tplc="27B22AB4" w:tentative="1">
      <w:start w:val="1"/>
      <w:numFmt w:val="bullet"/>
      <w:lvlText w:val="•"/>
      <w:lvlJc w:val="left"/>
      <w:pPr>
        <w:tabs>
          <w:tab w:val="num" w:pos="5760"/>
        </w:tabs>
        <w:ind w:left="5760" w:hanging="360"/>
      </w:pPr>
      <w:rPr>
        <w:rFonts w:ascii="Arial" w:hAnsi="Arial" w:hint="default"/>
      </w:rPr>
    </w:lvl>
    <w:lvl w:ilvl="8" w:tplc="9EDE410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C286E0E"/>
    <w:multiLevelType w:val="hybridMultilevel"/>
    <w:tmpl w:val="DC74E50C"/>
    <w:lvl w:ilvl="0" w:tplc="BC10308C">
      <w:start w:val="1"/>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A2F61BA"/>
    <w:multiLevelType w:val="hybridMultilevel"/>
    <w:tmpl w:val="DF5EBC80"/>
    <w:lvl w:ilvl="0" w:tplc="C1D0F2CA">
      <w:start w:val="2"/>
      <w:numFmt w:val="bullet"/>
      <w:lvlText w:val="-"/>
      <w:lvlJc w:val="left"/>
      <w:pPr>
        <w:ind w:left="360" w:hanging="360"/>
      </w:pPr>
      <w:rPr>
        <w:rFonts w:ascii="Times New Roman" w:eastAsia="맑은 고딕" w:hAnsi="Times New Roman" w:cs="Times New Roman" w:hint="default"/>
      </w:rPr>
    </w:lvl>
    <w:lvl w:ilvl="1" w:tplc="A6187904">
      <w:start w:val="22"/>
      <w:numFmt w:val="bullet"/>
      <w:lvlText w:val="-"/>
      <w:lvlJc w:val="left"/>
      <w:pPr>
        <w:ind w:left="800" w:hanging="400"/>
      </w:pPr>
      <w:rPr>
        <w:rFonts w:ascii="Times New Roman" w:eastAsia="MS Mincho" w:hAnsi="Times New Roman" w:cs="Times New Roman" w:hint="default"/>
      </w:rPr>
    </w:lvl>
    <w:lvl w:ilvl="2" w:tplc="82D490A0">
      <w:start w:val="22"/>
      <w:numFmt w:val="bullet"/>
      <w:lvlText w:val="-"/>
      <w:lvlJc w:val="left"/>
      <w:pPr>
        <w:ind w:left="1200" w:hanging="400"/>
      </w:pPr>
      <w:rPr>
        <w:rFonts w:ascii="Times New Roman" w:eastAsia="MS Mincho" w:hAnsi="Times New Roman" w:cs="Times New Roman" w:hint="default"/>
        <w:b/>
      </w:rPr>
    </w:lvl>
    <w:lvl w:ilvl="3" w:tplc="9AFC26DA">
      <w:numFmt w:val="bullet"/>
      <w:lvlText w:val="-"/>
      <w:lvlJc w:val="left"/>
      <w:pPr>
        <w:ind w:left="1600" w:hanging="400"/>
      </w:pPr>
      <w:rPr>
        <w:rFonts w:ascii="Times New Roman" w:eastAsia="Times New Roman" w:hAnsi="Times New Roman"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45BA22DF"/>
    <w:multiLevelType w:val="hybridMultilevel"/>
    <w:tmpl w:val="4B5C6EAC"/>
    <w:lvl w:ilvl="0" w:tplc="1F10095A">
      <w:start w:val="1"/>
      <w:numFmt w:val="bullet"/>
      <w:lvlText w:val="•"/>
      <w:lvlJc w:val="left"/>
      <w:pPr>
        <w:tabs>
          <w:tab w:val="num" w:pos="720"/>
        </w:tabs>
        <w:ind w:left="720" w:hanging="360"/>
      </w:pPr>
      <w:rPr>
        <w:rFonts w:ascii="Arial" w:hAnsi="Arial" w:hint="default"/>
      </w:rPr>
    </w:lvl>
    <w:lvl w:ilvl="1" w:tplc="19B20A76">
      <w:numFmt w:val="none"/>
      <w:lvlText w:val=""/>
      <w:lvlJc w:val="left"/>
      <w:pPr>
        <w:tabs>
          <w:tab w:val="num" w:pos="360"/>
        </w:tabs>
      </w:pPr>
    </w:lvl>
    <w:lvl w:ilvl="2" w:tplc="BE7AC25A" w:tentative="1">
      <w:start w:val="1"/>
      <w:numFmt w:val="bullet"/>
      <w:lvlText w:val="•"/>
      <w:lvlJc w:val="left"/>
      <w:pPr>
        <w:tabs>
          <w:tab w:val="num" w:pos="2160"/>
        </w:tabs>
        <w:ind w:left="2160" w:hanging="360"/>
      </w:pPr>
      <w:rPr>
        <w:rFonts w:ascii="Arial" w:hAnsi="Arial" w:hint="default"/>
      </w:rPr>
    </w:lvl>
    <w:lvl w:ilvl="3" w:tplc="980A2628" w:tentative="1">
      <w:start w:val="1"/>
      <w:numFmt w:val="bullet"/>
      <w:lvlText w:val="•"/>
      <w:lvlJc w:val="left"/>
      <w:pPr>
        <w:tabs>
          <w:tab w:val="num" w:pos="2880"/>
        </w:tabs>
        <w:ind w:left="2880" w:hanging="360"/>
      </w:pPr>
      <w:rPr>
        <w:rFonts w:ascii="Arial" w:hAnsi="Arial" w:hint="default"/>
      </w:rPr>
    </w:lvl>
    <w:lvl w:ilvl="4" w:tplc="3AB46508" w:tentative="1">
      <w:start w:val="1"/>
      <w:numFmt w:val="bullet"/>
      <w:lvlText w:val="•"/>
      <w:lvlJc w:val="left"/>
      <w:pPr>
        <w:tabs>
          <w:tab w:val="num" w:pos="3600"/>
        </w:tabs>
        <w:ind w:left="3600" w:hanging="360"/>
      </w:pPr>
      <w:rPr>
        <w:rFonts w:ascii="Arial" w:hAnsi="Arial" w:hint="default"/>
      </w:rPr>
    </w:lvl>
    <w:lvl w:ilvl="5" w:tplc="77988192" w:tentative="1">
      <w:start w:val="1"/>
      <w:numFmt w:val="bullet"/>
      <w:lvlText w:val="•"/>
      <w:lvlJc w:val="left"/>
      <w:pPr>
        <w:tabs>
          <w:tab w:val="num" w:pos="4320"/>
        </w:tabs>
        <w:ind w:left="4320" w:hanging="360"/>
      </w:pPr>
      <w:rPr>
        <w:rFonts w:ascii="Arial" w:hAnsi="Arial" w:hint="default"/>
      </w:rPr>
    </w:lvl>
    <w:lvl w:ilvl="6" w:tplc="3894003C" w:tentative="1">
      <w:start w:val="1"/>
      <w:numFmt w:val="bullet"/>
      <w:lvlText w:val="•"/>
      <w:lvlJc w:val="left"/>
      <w:pPr>
        <w:tabs>
          <w:tab w:val="num" w:pos="5040"/>
        </w:tabs>
        <w:ind w:left="5040" w:hanging="360"/>
      </w:pPr>
      <w:rPr>
        <w:rFonts w:ascii="Arial" w:hAnsi="Arial" w:hint="default"/>
      </w:rPr>
    </w:lvl>
    <w:lvl w:ilvl="7" w:tplc="6BF87252" w:tentative="1">
      <w:start w:val="1"/>
      <w:numFmt w:val="bullet"/>
      <w:lvlText w:val="•"/>
      <w:lvlJc w:val="left"/>
      <w:pPr>
        <w:tabs>
          <w:tab w:val="num" w:pos="5760"/>
        </w:tabs>
        <w:ind w:left="5760" w:hanging="360"/>
      </w:pPr>
      <w:rPr>
        <w:rFonts w:ascii="Arial" w:hAnsi="Arial" w:hint="default"/>
      </w:rPr>
    </w:lvl>
    <w:lvl w:ilvl="8" w:tplc="3FC27D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41A1ECE"/>
    <w:multiLevelType w:val="hybridMultilevel"/>
    <w:tmpl w:val="F40C2B70"/>
    <w:lvl w:ilvl="0" w:tplc="7EF4F3EE">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56E90159"/>
    <w:multiLevelType w:val="hybridMultilevel"/>
    <w:tmpl w:val="26C8091C"/>
    <w:lvl w:ilvl="0" w:tplc="C1600B4A">
      <w:numFmt w:val="none"/>
      <w:lvlText w:val=""/>
      <w:lvlJc w:val="left"/>
      <w:pPr>
        <w:tabs>
          <w:tab w:val="num" w:pos="360"/>
        </w:tabs>
      </w:pPr>
    </w:lvl>
    <w:lvl w:ilvl="1" w:tplc="5254EB18" w:tentative="1">
      <w:start w:val="1"/>
      <w:numFmt w:val="bullet"/>
      <w:lvlText w:val=""/>
      <w:lvlJc w:val="left"/>
      <w:pPr>
        <w:ind w:left="2500" w:hanging="400"/>
      </w:pPr>
      <w:rPr>
        <w:rFonts w:ascii="Wingdings" w:hAnsi="Wingdings" w:hint="default"/>
      </w:rPr>
    </w:lvl>
    <w:lvl w:ilvl="2" w:tplc="93CA4C7A" w:tentative="1">
      <w:start w:val="1"/>
      <w:numFmt w:val="bullet"/>
      <w:lvlText w:val=""/>
      <w:lvlJc w:val="left"/>
      <w:pPr>
        <w:ind w:left="2900" w:hanging="400"/>
      </w:pPr>
      <w:rPr>
        <w:rFonts w:ascii="Wingdings" w:hAnsi="Wingdings" w:hint="default"/>
      </w:rPr>
    </w:lvl>
    <w:lvl w:ilvl="3" w:tplc="3A146016" w:tentative="1">
      <w:start w:val="1"/>
      <w:numFmt w:val="bullet"/>
      <w:lvlText w:val=""/>
      <w:lvlJc w:val="left"/>
      <w:pPr>
        <w:ind w:left="3300" w:hanging="400"/>
      </w:pPr>
      <w:rPr>
        <w:rFonts w:ascii="Wingdings" w:hAnsi="Wingdings" w:hint="default"/>
      </w:rPr>
    </w:lvl>
    <w:lvl w:ilvl="4" w:tplc="AAE0BD5C" w:tentative="1">
      <w:start w:val="1"/>
      <w:numFmt w:val="bullet"/>
      <w:lvlText w:val=""/>
      <w:lvlJc w:val="left"/>
      <w:pPr>
        <w:ind w:left="3700" w:hanging="400"/>
      </w:pPr>
      <w:rPr>
        <w:rFonts w:ascii="Wingdings" w:hAnsi="Wingdings" w:hint="default"/>
      </w:rPr>
    </w:lvl>
    <w:lvl w:ilvl="5" w:tplc="17A2ED50" w:tentative="1">
      <w:start w:val="1"/>
      <w:numFmt w:val="bullet"/>
      <w:lvlText w:val=""/>
      <w:lvlJc w:val="left"/>
      <w:pPr>
        <w:ind w:left="4100" w:hanging="400"/>
      </w:pPr>
      <w:rPr>
        <w:rFonts w:ascii="Wingdings" w:hAnsi="Wingdings" w:hint="default"/>
      </w:rPr>
    </w:lvl>
    <w:lvl w:ilvl="6" w:tplc="A4887882" w:tentative="1">
      <w:start w:val="1"/>
      <w:numFmt w:val="bullet"/>
      <w:lvlText w:val=""/>
      <w:lvlJc w:val="left"/>
      <w:pPr>
        <w:ind w:left="4500" w:hanging="400"/>
      </w:pPr>
      <w:rPr>
        <w:rFonts w:ascii="Wingdings" w:hAnsi="Wingdings" w:hint="default"/>
      </w:rPr>
    </w:lvl>
    <w:lvl w:ilvl="7" w:tplc="97C62B5E" w:tentative="1">
      <w:start w:val="1"/>
      <w:numFmt w:val="bullet"/>
      <w:lvlText w:val=""/>
      <w:lvlJc w:val="left"/>
      <w:pPr>
        <w:ind w:left="4900" w:hanging="400"/>
      </w:pPr>
      <w:rPr>
        <w:rFonts w:ascii="Wingdings" w:hAnsi="Wingdings" w:hint="default"/>
      </w:rPr>
    </w:lvl>
    <w:lvl w:ilvl="8" w:tplc="3ACAA7B2" w:tentative="1">
      <w:start w:val="1"/>
      <w:numFmt w:val="bullet"/>
      <w:lvlText w:val=""/>
      <w:lvlJc w:val="left"/>
      <w:pPr>
        <w:ind w:left="5300" w:hanging="400"/>
      </w:pPr>
      <w:rPr>
        <w:rFonts w:ascii="Wingdings" w:hAnsi="Wingdings" w:hint="default"/>
      </w:rPr>
    </w:lvl>
  </w:abstractNum>
  <w:abstractNum w:abstractNumId="1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67A60EAF"/>
    <w:multiLevelType w:val="hybridMultilevel"/>
    <w:tmpl w:val="7A5A510E"/>
    <w:lvl w:ilvl="0" w:tplc="A8F410CA">
      <w:numFmt w:val="bullet"/>
      <w:lvlText w:val="-"/>
      <w:lvlJc w:val="left"/>
      <w:pPr>
        <w:ind w:left="760" w:hanging="360"/>
      </w:pPr>
      <w:rPr>
        <w:rFonts w:ascii="Times New Roman" w:eastAsia="굴림"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745E08B5"/>
    <w:multiLevelType w:val="hybridMultilevel"/>
    <w:tmpl w:val="7BCEEDBE"/>
    <w:lvl w:ilvl="0" w:tplc="C1D0F2CA">
      <w:start w:val="2"/>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78FE6B5E"/>
    <w:multiLevelType w:val="hybridMultilevel"/>
    <w:tmpl w:val="DD885B92"/>
    <w:lvl w:ilvl="0" w:tplc="50E4BF6C">
      <w:start w:val="1"/>
      <w:numFmt w:val="bullet"/>
      <w:lvlText w:val="•"/>
      <w:lvlJc w:val="left"/>
      <w:pPr>
        <w:tabs>
          <w:tab w:val="num" w:pos="720"/>
        </w:tabs>
        <w:ind w:left="720" w:hanging="360"/>
      </w:pPr>
      <w:rPr>
        <w:rFonts w:ascii="Arial" w:hAnsi="Arial" w:hint="default"/>
      </w:rPr>
    </w:lvl>
    <w:lvl w:ilvl="1" w:tplc="1146F566" w:tentative="1">
      <w:start w:val="1"/>
      <w:numFmt w:val="bullet"/>
      <w:lvlText w:val="•"/>
      <w:lvlJc w:val="left"/>
      <w:pPr>
        <w:tabs>
          <w:tab w:val="num" w:pos="1440"/>
        </w:tabs>
        <w:ind w:left="1440" w:hanging="360"/>
      </w:pPr>
      <w:rPr>
        <w:rFonts w:ascii="Arial" w:hAnsi="Arial" w:hint="default"/>
      </w:rPr>
    </w:lvl>
    <w:lvl w:ilvl="2" w:tplc="067E728C">
      <w:start w:val="1"/>
      <w:numFmt w:val="bullet"/>
      <w:lvlText w:val="•"/>
      <w:lvlJc w:val="left"/>
      <w:pPr>
        <w:tabs>
          <w:tab w:val="num" w:pos="2160"/>
        </w:tabs>
        <w:ind w:left="2160" w:hanging="360"/>
      </w:pPr>
      <w:rPr>
        <w:rFonts w:ascii="Arial" w:hAnsi="Arial" w:hint="default"/>
      </w:rPr>
    </w:lvl>
    <w:lvl w:ilvl="3" w:tplc="03F664BC">
      <w:numFmt w:val="none"/>
      <w:lvlText w:val=""/>
      <w:lvlJc w:val="left"/>
      <w:pPr>
        <w:tabs>
          <w:tab w:val="num" w:pos="360"/>
        </w:tabs>
      </w:pPr>
    </w:lvl>
    <w:lvl w:ilvl="4" w:tplc="21065BBA" w:tentative="1">
      <w:start w:val="1"/>
      <w:numFmt w:val="bullet"/>
      <w:lvlText w:val="•"/>
      <w:lvlJc w:val="left"/>
      <w:pPr>
        <w:tabs>
          <w:tab w:val="num" w:pos="3600"/>
        </w:tabs>
        <w:ind w:left="3600" w:hanging="360"/>
      </w:pPr>
      <w:rPr>
        <w:rFonts w:ascii="Arial" w:hAnsi="Arial" w:hint="default"/>
      </w:rPr>
    </w:lvl>
    <w:lvl w:ilvl="5" w:tplc="770EBD8A" w:tentative="1">
      <w:start w:val="1"/>
      <w:numFmt w:val="bullet"/>
      <w:lvlText w:val="•"/>
      <w:lvlJc w:val="left"/>
      <w:pPr>
        <w:tabs>
          <w:tab w:val="num" w:pos="4320"/>
        </w:tabs>
        <w:ind w:left="4320" w:hanging="360"/>
      </w:pPr>
      <w:rPr>
        <w:rFonts w:ascii="Arial" w:hAnsi="Arial" w:hint="default"/>
      </w:rPr>
    </w:lvl>
    <w:lvl w:ilvl="6" w:tplc="D708E2C8" w:tentative="1">
      <w:start w:val="1"/>
      <w:numFmt w:val="bullet"/>
      <w:lvlText w:val="•"/>
      <w:lvlJc w:val="left"/>
      <w:pPr>
        <w:tabs>
          <w:tab w:val="num" w:pos="5040"/>
        </w:tabs>
        <w:ind w:left="5040" w:hanging="360"/>
      </w:pPr>
      <w:rPr>
        <w:rFonts w:ascii="Arial" w:hAnsi="Arial" w:hint="default"/>
      </w:rPr>
    </w:lvl>
    <w:lvl w:ilvl="7" w:tplc="C3D075B6" w:tentative="1">
      <w:start w:val="1"/>
      <w:numFmt w:val="bullet"/>
      <w:lvlText w:val="•"/>
      <w:lvlJc w:val="left"/>
      <w:pPr>
        <w:tabs>
          <w:tab w:val="num" w:pos="5760"/>
        </w:tabs>
        <w:ind w:left="5760" w:hanging="360"/>
      </w:pPr>
      <w:rPr>
        <w:rFonts w:ascii="Arial" w:hAnsi="Arial" w:hint="default"/>
      </w:rPr>
    </w:lvl>
    <w:lvl w:ilvl="8" w:tplc="2A4C0F3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6"/>
  </w:num>
  <w:num w:numId="3">
    <w:abstractNumId w:val="10"/>
  </w:num>
  <w:num w:numId="4">
    <w:abstractNumId w:val="8"/>
  </w:num>
  <w:num w:numId="5">
    <w:abstractNumId w:val="0"/>
  </w:num>
  <w:num w:numId="6">
    <w:abstractNumId w:val="0"/>
  </w:num>
  <w:num w:numId="7">
    <w:abstractNumId w:val="12"/>
  </w:num>
  <w:num w:numId="8">
    <w:abstractNumId w:val="2"/>
  </w:num>
  <w:num w:numId="9">
    <w:abstractNumId w:val="11"/>
  </w:num>
  <w:num w:numId="10">
    <w:abstractNumId w:val="13"/>
  </w:num>
  <w:num w:numId="11">
    <w:abstractNumId w:val="4"/>
  </w:num>
  <w:num w:numId="12">
    <w:abstractNumId w:val="7"/>
  </w:num>
  <w:num w:numId="13">
    <w:abstractNumId w:val="9"/>
  </w:num>
  <w:num w:numId="14">
    <w:abstractNumId w:val="1"/>
  </w:num>
  <w:num w:numId="15">
    <w:abstractNumId w:val="3"/>
  </w:num>
  <w:num w:numId="16">
    <w:abstractNumId w:val="0"/>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552F"/>
    <w:rsid w:val="00026668"/>
    <w:rsid w:val="000640AF"/>
    <w:rsid w:val="0007657A"/>
    <w:rsid w:val="000932E9"/>
    <w:rsid w:val="000E50A6"/>
    <w:rsid w:val="0014670A"/>
    <w:rsid w:val="001852F3"/>
    <w:rsid w:val="001A5CED"/>
    <w:rsid w:val="001B3CCF"/>
    <w:rsid w:val="001B5B60"/>
    <w:rsid w:val="001C3DF9"/>
    <w:rsid w:val="001F1212"/>
    <w:rsid w:val="0021559D"/>
    <w:rsid w:val="002265C0"/>
    <w:rsid w:val="002A2D9A"/>
    <w:rsid w:val="00312FBA"/>
    <w:rsid w:val="0031552F"/>
    <w:rsid w:val="00417D39"/>
    <w:rsid w:val="00470223"/>
    <w:rsid w:val="00517EE4"/>
    <w:rsid w:val="00553F32"/>
    <w:rsid w:val="00554E4B"/>
    <w:rsid w:val="00564FB4"/>
    <w:rsid w:val="005D006E"/>
    <w:rsid w:val="005D7846"/>
    <w:rsid w:val="006345EF"/>
    <w:rsid w:val="0063723A"/>
    <w:rsid w:val="00666106"/>
    <w:rsid w:val="006E4FAE"/>
    <w:rsid w:val="00766CB1"/>
    <w:rsid w:val="007979AD"/>
    <w:rsid w:val="007A2B43"/>
    <w:rsid w:val="007B46DB"/>
    <w:rsid w:val="007C2D8B"/>
    <w:rsid w:val="007D3E31"/>
    <w:rsid w:val="007E0887"/>
    <w:rsid w:val="007E0D9F"/>
    <w:rsid w:val="007E4FC0"/>
    <w:rsid w:val="00837EAE"/>
    <w:rsid w:val="008800EA"/>
    <w:rsid w:val="0089054A"/>
    <w:rsid w:val="008B3418"/>
    <w:rsid w:val="00906446"/>
    <w:rsid w:val="00945028"/>
    <w:rsid w:val="00973ED3"/>
    <w:rsid w:val="00A0006B"/>
    <w:rsid w:val="00A328D4"/>
    <w:rsid w:val="00A33886"/>
    <w:rsid w:val="00A54858"/>
    <w:rsid w:val="00A940BF"/>
    <w:rsid w:val="00AD2D6C"/>
    <w:rsid w:val="00B26E67"/>
    <w:rsid w:val="00B86A48"/>
    <w:rsid w:val="00BA6108"/>
    <w:rsid w:val="00BA7CAE"/>
    <w:rsid w:val="00BD433B"/>
    <w:rsid w:val="00BD74C3"/>
    <w:rsid w:val="00BE60FF"/>
    <w:rsid w:val="00C538DC"/>
    <w:rsid w:val="00C72D7D"/>
    <w:rsid w:val="00CC5747"/>
    <w:rsid w:val="00D0669F"/>
    <w:rsid w:val="00D93221"/>
    <w:rsid w:val="00DA3A2C"/>
    <w:rsid w:val="00DC0E27"/>
    <w:rsid w:val="00DD21D8"/>
    <w:rsid w:val="00E85133"/>
    <w:rsid w:val="00E85159"/>
    <w:rsid w:val="00EA2D35"/>
    <w:rsid w:val="00EE5CB2"/>
    <w:rsid w:val="00F56DB2"/>
    <w:rsid w:val="00F57AE7"/>
    <w:rsid w:val="00FE6BD3"/>
  </w:rsids>
  <m:mathPr>
    <m:mathFont m:val="Cambria Math"/>
    <m:brkBin m:val="before"/>
    <m:brkBinSub m:val="--"/>
    <m:smallFrac m:val="0"/>
    <m:dispDef/>
    <m:lMargin m:val="0"/>
    <m:rMargin m:val="0"/>
    <m:defJc m:val="centerGroup"/>
    <m:wrapIndent m:val="1440"/>
    <m:intLim m:val="subSup"/>
    <m:naryLim m:val="undOvr"/>
  </m:mathPr>
  <w:themeFontLang w:val="en-US" w:eastAsia="ko-KR"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587DA1E-6CF7-4910-AB34-E87B69D99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552F"/>
    <w:pPr>
      <w:overflowPunct w:val="0"/>
      <w:autoSpaceDE w:val="0"/>
      <w:autoSpaceDN w:val="0"/>
      <w:spacing w:after="180" w:line="240" w:lineRule="auto"/>
      <w:jc w:val="left"/>
    </w:pPr>
    <w:rPr>
      <w:rFonts w:ascii="Times New Roman" w:eastAsia="굴림" w:hAnsi="Times New Roman" w:cs="Times New Roman"/>
      <w:kern w:val="0"/>
      <w:szCs w:val="20"/>
      <w:lang w:eastAsia="ja-JP"/>
    </w:rPr>
  </w:style>
  <w:style w:type="paragraph" w:styleId="Heading1">
    <w:name w:val="heading 1"/>
    <w:aliases w:val="H1,h1,Heading 1 3GPP"/>
    <w:next w:val="Normal"/>
    <w:link w:val="Heading1Char"/>
    <w:qFormat/>
    <w:rsid w:val="0031552F"/>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Heading2">
    <w:name w:val="heading 2"/>
    <w:basedOn w:val="Normal"/>
    <w:next w:val="Normal"/>
    <w:link w:val="Heading2Char"/>
    <w:qFormat/>
    <w:rsid w:val="0031552F"/>
    <w:pPr>
      <w:keepNext/>
      <w:numPr>
        <w:ilvl w:val="1"/>
        <w:numId w:val="1"/>
      </w:numPr>
      <w:spacing w:before="240" w:after="60"/>
      <w:outlineLvl w:val="1"/>
    </w:pPr>
    <w:rPr>
      <w:rFonts w:ascii="Arial" w:hAnsi="Arial" w:cs="Arial"/>
      <w:bCs/>
      <w:iCs/>
      <w:sz w:val="28"/>
      <w:szCs w:val="28"/>
    </w:rPr>
  </w:style>
  <w:style w:type="paragraph" w:styleId="Heading3">
    <w:name w:val="heading 3"/>
    <w:basedOn w:val="Normal"/>
    <w:next w:val="Normal"/>
    <w:link w:val="Heading3Char"/>
    <w:qFormat/>
    <w:rsid w:val="0031552F"/>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31552F"/>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31552F"/>
    <w:rPr>
      <w:rFonts w:ascii="Arial" w:eastAsia="SimSun" w:hAnsi="Arial" w:cs="Times New Roman"/>
      <w:kern w:val="0"/>
      <w:sz w:val="36"/>
      <w:szCs w:val="20"/>
      <w:lang w:eastAsia="en-US"/>
    </w:rPr>
  </w:style>
  <w:style w:type="character" w:customStyle="1" w:styleId="Heading2Char">
    <w:name w:val="Heading 2 Char"/>
    <w:basedOn w:val="DefaultParagraphFont"/>
    <w:link w:val="Heading2"/>
    <w:rsid w:val="0031552F"/>
    <w:rPr>
      <w:rFonts w:ascii="Arial" w:eastAsia="굴림" w:hAnsi="Arial" w:cs="Arial"/>
      <w:bCs/>
      <w:iCs/>
      <w:kern w:val="0"/>
      <w:sz w:val="28"/>
      <w:szCs w:val="28"/>
      <w:lang w:eastAsia="ja-JP"/>
    </w:rPr>
  </w:style>
  <w:style w:type="character" w:customStyle="1" w:styleId="Heading3Char">
    <w:name w:val="Heading 3 Char"/>
    <w:basedOn w:val="DefaultParagraphFont"/>
    <w:link w:val="Heading3"/>
    <w:rsid w:val="0031552F"/>
    <w:rPr>
      <w:rFonts w:ascii="Arial" w:eastAsia="SimSun" w:hAnsi="Arial" w:cs="Times New Roman"/>
      <w:b/>
      <w:bCs/>
      <w:kern w:val="0"/>
      <w:sz w:val="26"/>
      <w:szCs w:val="26"/>
      <w:lang w:val="x-none" w:eastAsia="ja-JP"/>
    </w:rPr>
  </w:style>
  <w:style w:type="character" w:customStyle="1" w:styleId="Heading4Char">
    <w:name w:val="Heading 4 Char"/>
    <w:basedOn w:val="DefaultParagraphFont"/>
    <w:link w:val="Heading4"/>
    <w:rsid w:val="0031552F"/>
    <w:rPr>
      <w:rFonts w:ascii="Times New Roman" w:eastAsia="굴림" w:hAnsi="Times New Roman" w:cs="Times New Roman"/>
      <w:b/>
      <w:bCs/>
      <w:kern w:val="0"/>
      <w:sz w:val="28"/>
      <w:szCs w:val="28"/>
      <w:lang w:eastAsia="ja-JP"/>
    </w:rPr>
  </w:style>
  <w:style w:type="paragraph" w:customStyle="1" w:styleId="CRCoverPage">
    <w:name w:val="CR Cover Page"/>
    <w:link w:val="CRCoverPageZchn"/>
    <w:qFormat/>
    <w:rsid w:val="0031552F"/>
    <w:pPr>
      <w:spacing w:after="120" w:line="240" w:lineRule="auto"/>
      <w:jc w:val="left"/>
    </w:pPr>
    <w:rPr>
      <w:rFonts w:ascii="Arial" w:eastAsia="MS Mincho" w:hAnsi="Arial" w:cs="Times New Roman"/>
      <w:kern w:val="0"/>
      <w:szCs w:val="20"/>
      <w:lang w:val="en-GB" w:eastAsia="en-US"/>
    </w:rPr>
  </w:style>
  <w:style w:type="paragraph" w:customStyle="1" w:styleId="B1">
    <w:name w:val="B1"/>
    <w:basedOn w:val="List"/>
    <w:link w:val="B1Char"/>
    <w:qFormat/>
    <w:rsid w:val="0031552F"/>
    <w:pPr>
      <w:overflowPunct/>
      <w:autoSpaceDE/>
      <w:autoSpaceDN/>
      <w:ind w:leftChars="0" w:left="568" w:firstLineChars="0" w:hanging="284"/>
      <w:contextualSpacing w:val="0"/>
    </w:pPr>
    <w:rPr>
      <w:rFonts w:eastAsia="MS Mincho"/>
    </w:rPr>
  </w:style>
  <w:style w:type="character" w:customStyle="1" w:styleId="B1Char">
    <w:name w:val="B1 Char"/>
    <w:link w:val="B1"/>
    <w:qFormat/>
    <w:rsid w:val="0031552F"/>
    <w:rPr>
      <w:rFonts w:ascii="Times New Roman" w:eastAsia="MS Mincho" w:hAnsi="Times New Roman" w:cs="Times New Roman"/>
      <w:kern w:val="0"/>
      <w:szCs w:val="20"/>
      <w:lang w:eastAsia="ja-JP"/>
    </w:rPr>
  </w:style>
  <w:style w:type="paragraph" w:customStyle="1" w:styleId="TAL">
    <w:name w:val="TAL"/>
    <w:basedOn w:val="Normal"/>
    <w:link w:val="TALCar"/>
    <w:qFormat/>
    <w:rsid w:val="0031552F"/>
    <w:pPr>
      <w:keepNext/>
      <w:keepLines/>
      <w:overflowPunct/>
      <w:autoSpaceDE/>
      <w:autoSpaceDN/>
      <w:spacing w:after="0"/>
    </w:pPr>
    <w:rPr>
      <w:rFonts w:ascii="Arial" w:hAnsi="Arial"/>
      <w:sz w:val="18"/>
    </w:rPr>
  </w:style>
  <w:style w:type="paragraph" w:styleId="ListParagraph">
    <w:name w:val="List Paragraph"/>
    <w:aliases w:val="- Bullets,?? ??,?????,????,Lista1,列出段落1,中等深浅网格 1 - 着色 21,列出段落,列表段落,リスト段落,¥¡¡¡¡ì¬º¥¹¥È¶ÎÂä,ÁÐ³ö¶ÎÂä,列表段落1,—ño’i—Ž,¥ê¥¹¥È¶ÎÂä,목록 단락,1st level - Bullet List Paragraph,Lettre d'introduction,Paragrafo elenco,Normal bullet 2,Bullet list"/>
    <w:basedOn w:val="Normal"/>
    <w:link w:val="ListParagraphChar"/>
    <w:uiPriority w:val="34"/>
    <w:qFormat/>
    <w:rsid w:val="0031552F"/>
    <w:pPr>
      <w:overflowPunct/>
      <w:autoSpaceDE/>
      <w:autoSpaceDN/>
      <w:snapToGrid w:val="0"/>
      <w:spacing w:after="200"/>
      <w:ind w:firstLineChars="200" w:firstLine="420"/>
    </w:pPr>
    <w:rPr>
      <w:rFonts w:ascii="Tahoma" w:eastAsia="Microsoft YaHei" w:hAnsi="Tahoma"/>
      <w:sz w:val="22"/>
      <w:szCs w:val="22"/>
      <w:lang w:eastAsia="zh-CN"/>
    </w:rPr>
  </w:style>
  <w:style w:type="character" w:customStyle="1" w:styleId="ListParagraphChar">
    <w:name w:val="List Paragraph Char"/>
    <w:aliases w:val="- Bullets Char,?? ?? Char,????? Char,???? Char,Lista1 Char,列出段落1 Char,中等深浅网格 1 - 着色 21 Char,列出段落 Char,列表段落 Char,リスト段落 Char,¥¡¡¡¡ì¬º¥¹¥È¶ÎÂä Char,ÁÐ³ö¶ÎÂä Char,列表段落1 Char,—ño’i—Ž Char,¥ê¥¹¥È¶ÎÂä Char,목록 단락 Char,Paragrafo elenco Char"/>
    <w:link w:val="ListParagraph"/>
    <w:uiPriority w:val="34"/>
    <w:qFormat/>
    <w:rsid w:val="0031552F"/>
    <w:rPr>
      <w:rFonts w:ascii="Tahoma" w:eastAsia="Microsoft YaHei" w:hAnsi="Tahoma" w:cs="Times New Roman"/>
      <w:kern w:val="0"/>
      <w:sz w:val="22"/>
      <w:lang w:eastAsia="zh-CN"/>
    </w:rPr>
  </w:style>
  <w:style w:type="character" w:customStyle="1" w:styleId="CRCoverPageZchn">
    <w:name w:val="CR Cover Page Zchn"/>
    <w:link w:val="CRCoverPage"/>
    <w:rsid w:val="0031552F"/>
    <w:rPr>
      <w:rFonts w:ascii="Arial" w:eastAsia="MS Mincho" w:hAnsi="Arial" w:cs="Times New Roman"/>
      <w:kern w:val="0"/>
      <w:szCs w:val="20"/>
      <w:lang w:val="en-GB" w:eastAsia="en-US"/>
    </w:rPr>
  </w:style>
  <w:style w:type="character" w:customStyle="1" w:styleId="TALCar">
    <w:name w:val="TAL Car"/>
    <w:link w:val="TAL"/>
    <w:qFormat/>
    <w:rsid w:val="0031552F"/>
    <w:rPr>
      <w:rFonts w:ascii="Arial" w:eastAsia="굴림" w:hAnsi="Arial" w:cs="Times New Roman"/>
      <w:kern w:val="0"/>
      <w:sz w:val="18"/>
      <w:szCs w:val="20"/>
      <w:lang w:eastAsia="ja-JP"/>
    </w:rPr>
  </w:style>
  <w:style w:type="paragraph" w:styleId="List">
    <w:name w:val="List"/>
    <w:basedOn w:val="Normal"/>
    <w:uiPriority w:val="99"/>
    <w:semiHidden/>
    <w:unhideWhenUsed/>
    <w:rsid w:val="0031552F"/>
    <w:pPr>
      <w:ind w:leftChars="200" w:left="100" w:hangingChars="200" w:hanging="200"/>
      <w:contextualSpacing/>
    </w:pPr>
  </w:style>
  <w:style w:type="paragraph" w:customStyle="1" w:styleId="Doc-text2">
    <w:name w:val="Doc-text2"/>
    <w:basedOn w:val="Normal"/>
    <w:link w:val="Doc-text2Char"/>
    <w:qFormat/>
    <w:rsid w:val="00C538DC"/>
    <w:pPr>
      <w:tabs>
        <w:tab w:val="left" w:pos="1622"/>
      </w:tabs>
      <w:overflowPunct/>
      <w:autoSpaceDE/>
      <w:autoSpaceDN/>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C538DC"/>
    <w:rPr>
      <w:rFonts w:ascii="Arial" w:eastAsia="MS Mincho" w:hAnsi="Arial" w:cs="Times New Roman"/>
      <w:kern w:val="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472074">
      <w:bodyDiv w:val="1"/>
      <w:marLeft w:val="0"/>
      <w:marRight w:val="0"/>
      <w:marTop w:val="0"/>
      <w:marBottom w:val="0"/>
      <w:divBdr>
        <w:top w:val="none" w:sz="0" w:space="0" w:color="auto"/>
        <w:left w:val="none" w:sz="0" w:space="0" w:color="auto"/>
        <w:bottom w:val="none" w:sz="0" w:space="0" w:color="auto"/>
        <w:right w:val="none" w:sz="0" w:space="0" w:color="auto"/>
      </w:divBdr>
      <w:divsChild>
        <w:div w:id="59983831">
          <w:marLeft w:val="1800"/>
          <w:marRight w:val="0"/>
          <w:marTop w:val="100"/>
          <w:marBottom w:val="0"/>
          <w:divBdr>
            <w:top w:val="none" w:sz="0" w:space="0" w:color="auto"/>
            <w:left w:val="none" w:sz="0" w:space="0" w:color="auto"/>
            <w:bottom w:val="none" w:sz="0" w:space="0" w:color="auto"/>
            <w:right w:val="none" w:sz="0" w:space="0" w:color="auto"/>
          </w:divBdr>
        </w:div>
        <w:div w:id="1392654659">
          <w:marLeft w:val="1800"/>
          <w:marRight w:val="0"/>
          <w:marTop w:val="100"/>
          <w:marBottom w:val="0"/>
          <w:divBdr>
            <w:top w:val="none" w:sz="0" w:space="0" w:color="auto"/>
            <w:left w:val="none" w:sz="0" w:space="0" w:color="auto"/>
            <w:bottom w:val="none" w:sz="0" w:space="0" w:color="auto"/>
            <w:right w:val="none" w:sz="0" w:space="0" w:color="auto"/>
          </w:divBdr>
        </w:div>
        <w:div w:id="1722247452">
          <w:marLeft w:val="2520"/>
          <w:marRight w:val="0"/>
          <w:marTop w:val="100"/>
          <w:marBottom w:val="0"/>
          <w:divBdr>
            <w:top w:val="none" w:sz="0" w:space="0" w:color="auto"/>
            <w:left w:val="none" w:sz="0" w:space="0" w:color="auto"/>
            <w:bottom w:val="none" w:sz="0" w:space="0" w:color="auto"/>
            <w:right w:val="none" w:sz="0" w:space="0" w:color="auto"/>
          </w:divBdr>
        </w:div>
      </w:divsChild>
    </w:div>
    <w:div w:id="2057700341">
      <w:bodyDiv w:val="1"/>
      <w:marLeft w:val="0"/>
      <w:marRight w:val="0"/>
      <w:marTop w:val="0"/>
      <w:marBottom w:val="0"/>
      <w:divBdr>
        <w:top w:val="none" w:sz="0" w:space="0" w:color="auto"/>
        <w:left w:val="none" w:sz="0" w:space="0" w:color="auto"/>
        <w:bottom w:val="none" w:sz="0" w:space="0" w:color="auto"/>
        <w:right w:val="none" w:sz="0" w:space="0" w:color="auto"/>
      </w:divBdr>
      <w:divsChild>
        <w:div w:id="21901913">
          <w:marLeft w:val="360"/>
          <w:marRight w:val="0"/>
          <w:marTop w:val="200"/>
          <w:marBottom w:val="0"/>
          <w:divBdr>
            <w:top w:val="none" w:sz="0" w:space="0" w:color="auto"/>
            <w:left w:val="none" w:sz="0" w:space="0" w:color="auto"/>
            <w:bottom w:val="none" w:sz="0" w:space="0" w:color="auto"/>
            <w:right w:val="none" w:sz="0" w:space="0" w:color="auto"/>
          </w:divBdr>
        </w:div>
        <w:div w:id="464667260">
          <w:marLeft w:val="1080"/>
          <w:marRight w:val="0"/>
          <w:marTop w:val="100"/>
          <w:marBottom w:val="0"/>
          <w:divBdr>
            <w:top w:val="none" w:sz="0" w:space="0" w:color="auto"/>
            <w:left w:val="none" w:sz="0" w:space="0" w:color="auto"/>
            <w:bottom w:val="none" w:sz="0" w:space="0" w:color="auto"/>
            <w:right w:val="none" w:sz="0" w:space="0" w:color="auto"/>
          </w:divBdr>
        </w:div>
        <w:div w:id="743457463">
          <w:marLeft w:val="1080"/>
          <w:marRight w:val="0"/>
          <w:marTop w:val="100"/>
          <w:marBottom w:val="0"/>
          <w:divBdr>
            <w:top w:val="none" w:sz="0" w:space="0" w:color="auto"/>
            <w:left w:val="none" w:sz="0" w:space="0" w:color="auto"/>
            <w:bottom w:val="none" w:sz="0" w:space="0" w:color="auto"/>
            <w:right w:val="none" w:sz="0" w:space="0" w:color="auto"/>
          </w:divBdr>
        </w:div>
      </w:divsChild>
    </w:div>
    <w:div w:id="2063480721">
      <w:bodyDiv w:val="1"/>
      <w:marLeft w:val="0"/>
      <w:marRight w:val="0"/>
      <w:marTop w:val="0"/>
      <w:marBottom w:val="0"/>
      <w:divBdr>
        <w:top w:val="none" w:sz="0" w:space="0" w:color="auto"/>
        <w:left w:val="none" w:sz="0" w:space="0" w:color="auto"/>
        <w:bottom w:val="none" w:sz="0" w:space="0" w:color="auto"/>
        <w:right w:val="none" w:sz="0" w:space="0" w:color="auto"/>
      </w:divBdr>
      <w:divsChild>
        <w:div w:id="407312014">
          <w:marLeft w:val="360"/>
          <w:marRight w:val="0"/>
          <w:marTop w:val="200"/>
          <w:marBottom w:val="0"/>
          <w:divBdr>
            <w:top w:val="none" w:sz="0" w:space="0" w:color="auto"/>
            <w:left w:val="none" w:sz="0" w:space="0" w:color="auto"/>
            <w:bottom w:val="none" w:sz="0" w:space="0" w:color="auto"/>
            <w:right w:val="none" w:sz="0" w:space="0" w:color="auto"/>
          </w:divBdr>
        </w:div>
        <w:div w:id="1520847026">
          <w:marLeft w:val="1080"/>
          <w:marRight w:val="0"/>
          <w:marTop w:val="100"/>
          <w:marBottom w:val="0"/>
          <w:divBdr>
            <w:top w:val="none" w:sz="0" w:space="0" w:color="auto"/>
            <w:left w:val="none" w:sz="0" w:space="0" w:color="auto"/>
            <w:bottom w:val="none" w:sz="0" w:space="0" w:color="auto"/>
            <w:right w:val="none" w:sz="0" w:space="0" w:color="auto"/>
          </w:divBdr>
        </w:div>
        <w:div w:id="751048689">
          <w:marLeft w:val="360"/>
          <w:marRight w:val="0"/>
          <w:marTop w:val="200"/>
          <w:marBottom w:val="0"/>
          <w:divBdr>
            <w:top w:val="none" w:sz="0" w:space="0" w:color="auto"/>
            <w:left w:val="none" w:sz="0" w:space="0" w:color="auto"/>
            <w:bottom w:val="none" w:sz="0" w:space="0" w:color="auto"/>
            <w:right w:val="none" w:sz="0" w:space="0" w:color="auto"/>
          </w:divBdr>
        </w:div>
        <w:div w:id="199559709">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1195</Words>
  <Characters>6818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아기왈아닐/5G/6G표준Lab(SR)/Principal Engineer/삼성전자</dc:creator>
  <cp:keywords/>
  <dc:description/>
  <cp:lastModifiedBy>Samsung (Anil Agiwal)</cp:lastModifiedBy>
  <cp:revision>7</cp:revision>
  <dcterms:created xsi:type="dcterms:W3CDTF">2021-07-22T02:01:00Z</dcterms:created>
  <dcterms:modified xsi:type="dcterms:W3CDTF">2021-08-03T04:00:00Z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